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4"/>
        <w:ind w:left="0" w:leftChars="0" w:firstLine="0" w:firstLineChars="0"/>
      </w:pPr>
    </w:p>
    <w:p w14:paraId="50A2DC11">
      <w:pPr>
        <w:pStyle w:val="2"/>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桐城师范高等专科学校监控系统维修和维保服务项目</w:t>
      </w:r>
    </w:p>
    <w:p w14:paraId="1B42889C">
      <w:pPr>
        <w:spacing w:line="480" w:lineRule="exact"/>
        <w:rPr>
          <w:rFonts w:ascii="宋体"/>
          <w:color w:val="auto"/>
          <w:sz w:val="44"/>
          <w:szCs w:val="44"/>
          <w:highlight w:val="none"/>
        </w:rPr>
      </w:pPr>
    </w:p>
    <w:p w14:paraId="5E8CFB64">
      <w:pPr>
        <w:pStyle w:val="2"/>
        <w:jc w:val="center"/>
        <w:rPr>
          <w:rFonts w:hint="eastAsia" w:ascii="宋体"/>
          <w:b/>
          <w:bCs/>
          <w:color w:val="auto"/>
          <w:sz w:val="72"/>
          <w:szCs w:val="72"/>
          <w:highlight w:val="none"/>
          <w:lang w:val="en-US" w:eastAsia="zh-CN"/>
        </w:rPr>
      </w:pPr>
    </w:p>
    <w:p w14:paraId="26273924">
      <w:pPr>
        <w:pStyle w:val="2"/>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014</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安徽建方工程造价有限公司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6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2BE27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2"/>
        <w:rPr>
          <w:color w:val="auto"/>
          <w:highlight w:val="none"/>
          <w:lang w:val="zh-CN"/>
        </w:rPr>
      </w:pPr>
    </w:p>
    <w:p w14:paraId="1542DBC9">
      <w:pPr>
        <w:pStyle w:val="30"/>
        <w:tabs>
          <w:tab w:val="right" w:leader="dot" w:pos="9070"/>
        </w:tabs>
        <w:spacing w:line="360" w:lineRule="auto"/>
        <w:rPr>
          <w:color w:val="auto"/>
          <w:sz w:val="28"/>
          <w:szCs w:val="24"/>
          <w:highlight w:val="none"/>
        </w:rPr>
      </w:pPr>
      <w:bookmarkStart w:id="0" w:name="_Toc54941328"/>
      <w:bookmarkStart w:id="1" w:name="_Toc23467"/>
      <w:bookmarkStart w:id="2" w:name="_Toc21464"/>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5</w:t>
      </w:r>
    </w:p>
    <w:p w14:paraId="5B6135D5">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62AA5D4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3</w:t>
      </w:r>
      <w:r>
        <w:rPr>
          <w:color w:val="auto"/>
          <w:sz w:val="28"/>
          <w:szCs w:val="40"/>
          <w:highlight w:val="none"/>
        </w:rPr>
        <w:fldChar w:fldCharType="end"/>
      </w:r>
      <w:r>
        <w:rPr>
          <w:rFonts w:hint="eastAsia"/>
          <w:color w:val="auto"/>
          <w:sz w:val="28"/>
          <w:szCs w:val="40"/>
          <w:highlight w:val="none"/>
          <w:lang w:val="en-US" w:eastAsia="zh-CN"/>
        </w:rPr>
        <w:t>0</w:t>
      </w:r>
    </w:p>
    <w:p w14:paraId="365392B1">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46</w:t>
      </w:r>
      <w:r>
        <w:rPr>
          <w:color w:val="auto"/>
          <w:sz w:val="28"/>
          <w:szCs w:val="24"/>
          <w:highlight w:val="none"/>
        </w:rPr>
        <w:fldChar w:fldCharType="end"/>
      </w:r>
      <w:r>
        <w:rPr>
          <w:color w:val="auto"/>
          <w:sz w:val="28"/>
          <w:szCs w:val="40"/>
          <w:highlight w:val="none"/>
        </w:rPr>
        <w:fldChar w:fldCharType="end"/>
      </w:r>
    </w:p>
    <w:p w14:paraId="630C35A3">
      <w:pPr>
        <w:pStyle w:val="22"/>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2"/>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桐城师范高等专科学校监控系统维修和维保服务项目竞争性谈判公告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桐城师范高等专科学校监控系统维修和维保服务项目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6 月 24 日 09 时 00 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28359089"/>
      <w:bookmarkStart w:id="10" w:name="_Toc35393798"/>
      <w:bookmarkStart w:id="11" w:name="_Toc28359012"/>
      <w:bookmarkStart w:id="12" w:name="_Toc3539362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014</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项目名称：桐城师范高等专科学校监控系统维修和维保服务项目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79700.00元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79700.00元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eastAsia="zh-CN"/>
        </w:rPr>
        <w:t>桐城师范高等专科学校监控系统维修和维保服务项目</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 xml:space="preserve">监控设备维修在45个日历天完成，维保服务期一年。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35393799"/>
      <w:bookmarkStart w:id="14" w:name="_Toc35393630"/>
      <w:bookmarkStart w:id="15" w:name="_Toc28359090"/>
      <w:bookmarkStart w:id="16" w:name="_Toc28359013"/>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28359014"/>
      <w:bookmarkStart w:id="18" w:name="_Toc35393800"/>
      <w:bookmarkStart w:id="19" w:name="_Toc28359091"/>
      <w:bookmarkStart w:id="20" w:name="_Toc35393631"/>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6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24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09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00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35393632"/>
      <w:bookmarkStart w:id="22" w:name="_Toc35393801"/>
      <w:bookmarkStart w:id="23" w:name="_Toc28359015"/>
      <w:bookmarkStart w:id="24" w:name="_Toc2835909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28359093"/>
      <w:bookmarkStart w:id="26" w:name="_Toc35393633"/>
      <w:bookmarkStart w:id="27" w:name="_Toc35393802"/>
      <w:bookmarkStart w:id="28" w:name="_Toc28359016"/>
      <w:r>
        <w:rPr>
          <w:rFonts w:hint="eastAsia" w:asciiTheme="minorEastAsia" w:hAnsiTheme="minorEastAsia" w:eastAsiaTheme="minorEastAsia" w:cstheme="minorEastAsia"/>
          <w:b w:val="0"/>
          <w:bCs/>
          <w:color w:val="auto"/>
          <w:sz w:val="28"/>
          <w:szCs w:val="28"/>
          <w:highlight w:val="none"/>
        </w:rPr>
        <w:t>截止时间：202</w:t>
      </w:r>
      <w:r>
        <w:rPr>
          <w:rFonts w:hint="eastAsia" w:asciiTheme="minorEastAsia" w:hAnsiTheme="minorEastAsia" w:eastAsiaTheme="minorEastAsia" w:cstheme="minorEastAsia"/>
          <w:b w:val="0"/>
          <w:bCs/>
          <w:color w:val="auto"/>
          <w:sz w:val="28"/>
          <w:szCs w:val="28"/>
          <w:highlight w:val="none"/>
          <w:lang w:val="en-US" w:eastAsia="zh-CN"/>
        </w:rPr>
        <w:t xml:space="preserve">5 </w:t>
      </w:r>
      <w:r>
        <w:rPr>
          <w:rFonts w:hint="eastAsia" w:asciiTheme="minorEastAsia" w:hAnsiTheme="minorEastAsia" w:eastAsiaTheme="minorEastAsia" w:cstheme="minorEastAsia"/>
          <w:b w:val="0"/>
          <w:bCs/>
          <w:color w:val="auto"/>
          <w:sz w:val="28"/>
          <w:szCs w:val="28"/>
          <w:highlight w:val="none"/>
        </w:rPr>
        <w:t>年</w:t>
      </w:r>
      <w:r>
        <w:rPr>
          <w:rFonts w:hint="eastAsia" w:asciiTheme="minorEastAsia" w:hAnsiTheme="minorEastAsia" w:eastAsiaTheme="minorEastAsia" w:cstheme="minorEastAsia"/>
          <w:b w:val="0"/>
          <w:bCs/>
          <w:color w:val="auto"/>
          <w:sz w:val="28"/>
          <w:szCs w:val="28"/>
          <w:highlight w:val="none"/>
          <w:lang w:val="en-US" w:eastAsia="zh-CN"/>
        </w:rPr>
        <w:t xml:space="preserve"> 6 </w:t>
      </w:r>
      <w:r>
        <w:rPr>
          <w:rFonts w:hint="eastAsia" w:asciiTheme="minorEastAsia" w:hAnsiTheme="minorEastAsia" w:eastAsiaTheme="minorEastAsia" w:cstheme="minorEastAsia"/>
          <w:b w:val="0"/>
          <w:bCs/>
          <w:color w:val="auto"/>
          <w:sz w:val="28"/>
          <w:szCs w:val="28"/>
          <w:highlight w:val="none"/>
        </w:rPr>
        <w:t>月</w:t>
      </w:r>
      <w:r>
        <w:rPr>
          <w:rFonts w:hint="eastAsia" w:asciiTheme="minorEastAsia" w:hAnsiTheme="minorEastAsia" w:eastAsiaTheme="minorEastAsia" w:cstheme="minorEastAsia"/>
          <w:b w:val="0"/>
          <w:bCs/>
          <w:color w:val="auto"/>
          <w:sz w:val="28"/>
          <w:szCs w:val="28"/>
          <w:highlight w:val="none"/>
          <w:lang w:val="en-US" w:eastAsia="zh-CN"/>
        </w:rPr>
        <w:t xml:space="preserve"> 24 </w:t>
      </w:r>
      <w:r>
        <w:rPr>
          <w:rFonts w:hint="eastAsia" w:asciiTheme="minorEastAsia" w:hAnsiTheme="minorEastAsia" w:eastAsiaTheme="minorEastAsia" w:cstheme="minorEastAsia"/>
          <w:b w:val="0"/>
          <w:bCs/>
          <w:color w:val="auto"/>
          <w:sz w:val="28"/>
          <w:szCs w:val="28"/>
          <w:highlight w:val="none"/>
        </w:rPr>
        <w:t>日</w:t>
      </w:r>
      <w:r>
        <w:rPr>
          <w:rFonts w:hint="eastAsia" w:asciiTheme="minorEastAsia" w:hAnsiTheme="minorEastAsia" w:eastAsiaTheme="minorEastAsia" w:cstheme="minorEastAsia"/>
          <w:b w:val="0"/>
          <w:bCs/>
          <w:color w:val="auto"/>
          <w:sz w:val="28"/>
          <w:szCs w:val="28"/>
          <w:highlight w:val="none"/>
          <w:lang w:val="en-US" w:eastAsia="zh-CN"/>
        </w:rPr>
        <w:t xml:space="preserve"> 09 </w:t>
      </w:r>
      <w:r>
        <w:rPr>
          <w:rFonts w:hint="eastAsia" w:asciiTheme="minorEastAsia" w:hAnsiTheme="minorEastAsia" w:eastAsiaTheme="minorEastAsia" w:cstheme="minorEastAsia"/>
          <w:b w:val="0"/>
          <w:bCs/>
          <w:color w:val="auto"/>
          <w:sz w:val="28"/>
          <w:szCs w:val="28"/>
          <w:highlight w:val="none"/>
        </w:rPr>
        <w:t>时</w:t>
      </w:r>
      <w:r>
        <w:rPr>
          <w:rFonts w:hint="eastAsia" w:asciiTheme="minorEastAsia" w:hAnsiTheme="minorEastAsia" w:eastAsiaTheme="minorEastAsia" w:cstheme="minorEastAsia"/>
          <w:b w:val="0"/>
          <w:bCs/>
          <w:color w:val="auto"/>
          <w:sz w:val="28"/>
          <w:szCs w:val="28"/>
          <w:highlight w:val="none"/>
          <w:lang w:val="en-US" w:eastAsia="zh-CN"/>
        </w:rPr>
        <w:t xml:space="preserve"> 00 </w:t>
      </w:r>
      <w:r>
        <w:rPr>
          <w:rFonts w:hint="eastAsia" w:asciiTheme="minorEastAsia" w:hAnsiTheme="minorEastAsia" w:eastAsiaTheme="minorEastAsia" w:cstheme="minorEastAsia"/>
          <w:b w:val="0"/>
          <w:bCs/>
          <w:color w:val="auto"/>
          <w:sz w:val="28"/>
          <w:szCs w:val="28"/>
          <w:highlight w:val="none"/>
        </w:rPr>
        <w:t>分</w:t>
      </w:r>
    </w:p>
    <w:p w14:paraId="4023AD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634"/>
      <w:bookmarkStart w:id="30" w:name="_Toc28359094"/>
      <w:bookmarkStart w:id="31" w:name="_Toc28359017"/>
      <w:bookmarkStart w:id="32" w:name="_Toc35393803"/>
      <w:r>
        <w:rPr>
          <w:rFonts w:hint="eastAsia" w:asciiTheme="minorEastAsia" w:hAnsiTheme="minorEastAsia" w:eastAsiaTheme="minorEastAsia" w:cstheme="minorEastAsia"/>
          <w:color w:val="auto"/>
          <w:sz w:val="28"/>
          <w:szCs w:val="28"/>
          <w:highlight w:val="none"/>
          <w:lang w:val="en-US" w:eastAsia="zh-CN"/>
        </w:rPr>
        <w:t>时间：2025 年 6 月 24 日 09 时 00 分</w:t>
      </w:r>
    </w:p>
    <w:p w14:paraId="59AFF3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桐城市龙眠东路261号</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联系人：唐先生             联系方式：</w:t>
      </w:r>
      <w:bookmarkEnd w:id="7"/>
      <w:r>
        <w:rPr>
          <w:rFonts w:hint="eastAsia" w:asciiTheme="minorEastAsia" w:hAnsiTheme="minorEastAsia" w:eastAsiaTheme="minorEastAsia" w:cstheme="minorEastAsia"/>
          <w:color w:val="auto"/>
          <w:sz w:val="28"/>
          <w:szCs w:val="28"/>
          <w:highlight w:val="none"/>
          <w:lang w:val="en-US" w:eastAsia="zh-CN"/>
        </w:rPr>
        <w:t>16655617228</w:t>
      </w:r>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26069"/>
      <w:bookmarkStart w:id="37" w:name="_Toc11266"/>
      <w:bookmarkStart w:id="38"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4"/>
        <w:rPr>
          <w:rFonts w:hint="eastAsia" w:eastAsia="宋体" w:cs="Tahoma"/>
          <w:bCs/>
          <w:color w:val="auto"/>
          <w:kern w:val="0"/>
          <w:sz w:val="32"/>
          <w:szCs w:val="32"/>
          <w:highlight w:val="none"/>
          <w:lang w:eastAsia="zh-CN"/>
        </w:rPr>
      </w:pPr>
      <w:bookmarkStart w:id="39" w:name="_Toc54941330"/>
      <w:bookmarkStart w:id="40" w:name="_Toc17862"/>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40"/>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7325"/>
      <w:bookmarkStart w:id="46" w:name="_Toc21078"/>
      <w:bookmarkStart w:id="47" w:name="_Toc25270"/>
      <w:bookmarkStart w:id="48" w:name="_Toc439316919"/>
      <w:bookmarkStart w:id="49" w:name="_Toc15055"/>
      <w:bookmarkStart w:id="50" w:name="_Toc10523"/>
      <w:bookmarkStart w:id="51" w:name="_Toc439316873"/>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439316920"/>
      <w:bookmarkStart w:id="53" w:name="_Toc24643"/>
      <w:bookmarkStart w:id="54" w:name="_Toc10933"/>
      <w:bookmarkStart w:id="55" w:name="_Toc27113"/>
      <w:bookmarkStart w:id="56" w:name="_Toc1704"/>
      <w:bookmarkStart w:id="57" w:name="_Toc8228"/>
      <w:bookmarkStart w:id="58" w:name="_Toc43931687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4BD37E9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3"/>
              <w:jc w:val="center"/>
              <w:rPr>
                <w:rFonts w:hint="default" w:eastAsia="宋体"/>
                <w:lang w:val="en-US" w:eastAsia="zh-CN"/>
              </w:rPr>
            </w:pPr>
            <w:r>
              <w:rPr>
                <w:rFonts w:hint="eastAsia"/>
                <w:sz w:val="24"/>
                <w:szCs w:val="24"/>
                <w:lang w:val="en-US" w:eastAsia="zh-CN"/>
              </w:rPr>
              <w:t>条款名称</w:t>
            </w:r>
          </w:p>
        </w:tc>
        <w:tc>
          <w:tcPr>
            <w:tcW w:w="5170" w:type="dxa"/>
            <w:vAlign w:val="center"/>
          </w:tcPr>
          <w:p w14:paraId="5E9AB130">
            <w:pPr>
              <w:pStyle w:val="23"/>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ascii="宋体" w:hAnsi="宋体" w:eastAsia="宋体"/>
                <w:color w:val="auto"/>
                <w:sz w:val="24"/>
                <w:highlight w:val="none"/>
              </w:rPr>
              <w:t>1</w:t>
            </w:r>
          </w:p>
        </w:tc>
        <w:tc>
          <w:tcPr>
            <w:tcW w:w="2391" w:type="dxa"/>
            <w:vAlign w:val="center"/>
          </w:tcPr>
          <w:p w14:paraId="0BE0FC1C">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ascii="宋体" w:hAnsi="宋体" w:eastAsia="宋体"/>
                <w:color w:val="auto"/>
                <w:sz w:val="24"/>
                <w:highlight w:val="none"/>
              </w:rPr>
              <w:t>付款方式</w:t>
            </w:r>
          </w:p>
        </w:tc>
        <w:tc>
          <w:tcPr>
            <w:tcW w:w="5170" w:type="dxa"/>
            <w:vAlign w:val="center"/>
          </w:tcPr>
          <w:p w14:paraId="38662023">
            <w:pPr>
              <w:keepNext w:val="0"/>
              <w:keepLines w:val="0"/>
              <w:pageBreakBefore w:val="0"/>
              <w:widowControl w:val="0"/>
              <w:kinsoku/>
              <w:wordWrap/>
              <w:overflowPunct/>
              <w:topLinePunct w:val="0"/>
              <w:autoSpaceDE/>
              <w:autoSpaceDN/>
              <w:bidi w:val="0"/>
              <w:adjustRightInd w:val="0"/>
              <w:snapToGrid/>
              <w:jc w:val="center"/>
              <w:rPr>
                <w:rFonts w:hint="eastAsia" w:ascii="宋体" w:hAnsi="宋体"/>
                <w:sz w:val="24"/>
                <w:lang w:val="en-US" w:eastAsia="zh-CN"/>
              </w:rPr>
            </w:pPr>
            <w:r>
              <w:rPr>
                <w:rFonts w:hint="eastAsia" w:ascii="宋体" w:hAnsi="宋体"/>
                <w:sz w:val="24"/>
                <w:lang w:val="en-US" w:eastAsia="zh-CN"/>
              </w:rPr>
              <w:t>维修完成验收合格后付合同金额的20%；</w:t>
            </w:r>
          </w:p>
          <w:p w14:paraId="6BAE074A">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sz w:val="24"/>
                <w:lang w:val="en-US" w:eastAsia="zh-CN"/>
              </w:rPr>
              <w:t>维保到期验收合格后一次性结清余款。</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hint="eastAsia" w:ascii="宋体" w:hAnsi="宋体" w:eastAsia="宋体"/>
                <w:color w:val="auto"/>
                <w:sz w:val="24"/>
                <w:highlight w:val="none"/>
              </w:rPr>
              <w:t>2</w:t>
            </w:r>
          </w:p>
        </w:tc>
        <w:tc>
          <w:tcPr>
            <w:tcW w:w="2391" w:type="dxa"/>
            <w:vAlign w:val="center"/>
          </w:tcPr>
          <w:p w14:paraId="17C839E3">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eastAsia="宋体"/>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hint="eastAsia" w:ascii="宋体" w:hAnsi="宋体" w:eastAsia="宋体"/>
                <w:color w:val="auto"/>
                <w:sz w:val="24"/>
                <w:highlight w:val="none"/>
              </w:rPr>
              <w:t>3</w:t>
            </w:r>
          </w:p>
        </w:tc>
        <w:tc>
          <w:tcPr>
            <w:tcW w:w="2391" w:type="dxa"/>
            <w:vAlign w:val="center"/>
          </w:tcPr>
          <w:p w14:paraId="1A1D828D">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7775D0BE">
            <w:pPr>
              <w:keepNext w:val="0"/>
              <w:keepLines w:val="0"/>
              <w:pageBreakBefore w:val="0"/>
              <w:widowControl w:val="0"/>
              <w:kinsoku/>
              <w:wordWrap/>
              <w:overflowPunct/>
              <w:topLinePunct w:val="0"/>
              <w:autoSpaceDE/>
              <w:autoSpaceDN/>
              <w:bidi w:val="0"/>
              <w:adjustRightInd w:val="0"/>
              <w:snapToGrid/>
              <w:jc w:val="center"/>
              <w:rPr>
                <w:rFonts w:hint="eastAsia" w:ascii="宋体" w:hAnsi="宋体" w:eastAsia="宋体"/>
                <w:sz w:val="24"/>
                <w:lang w:val="en-US" w:eastAsia="zh-CN"/>
              </w:rPr>
            </w:pPr>
            <w:r>
              <w:rPr>
                <w:rFonts w:hint="eastAsia" w:ascii="宋体" w:hAnsi="宋体" w:eastAsia="宋体" w:cs="宋体"/>
                <w:b w:val="0"/>
                <w:bCs w:val="0"/>
                <w:color w:val="040000"/>
                <w:kern w:val="0"/>
                <w:sz w:val="24"/>
                <w:szCs w:val="24"/>
                <w:lang w:val="en-US" w:eastAsia="zh-CN"/>
              </w:rPr>
              <w:t>监控</w:t>
            </w:r>
            <w:r>
              <w:rPr>
                <w:rFonts w:hint="eastAsia" w:ascii="宋体" w:hAnsi="宋体" w:cs="宋体"/>
                <w:b w:val="0"/>
                <w:bCs w:val="0"/>
                <w:color w:val="040000"/>
                <w:kern w:val="0"/>
                <w:sz w:val="24"/>
                <w:szCs w:val="24"/>
                <w:lang w:val="en-US" w:eastAsia="zh-CN"/>
              </w:rPr>
              <w:t>设备</w:t>
            </w:r>
            <w:r>
              <w:rPr>
                <w:rFonts w:hint="eastAsia" w:ascii="宋体" w:hAnsi="宋体" w:eastAsia="宋体"/>
                <w:sz w:val="24"/>
                <w:lang w:val="en-US" w:eastAsia="zh-CN"/>
              </w:rPr>
              <w:t>维修在45个日历天完成</w:t>
            </w:r>
            <w:r>
              <w:rPr>
                <w:rFonts w:hint="eastAsia" w:ascii="宋体" w:hAnsi="宋体"/>
                <w:sz w:val="24"/>
                <w:lang w:val="en-US" w:eastAsia="zh-CN"/>
              </w:rPr>
              <w:t>；</w:t>
            </w:r>
          </w:p>
          <w:p w14:paraId="61A07DFD">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sz w:val="24"/>
                <w:lang w:val="en-US" w:eastAsia="zh-CN"/>
              </w:rPr>
              <w:t>维保</w:t>
            </w:r>
            <w:r>
              <w:rPr>
                <w:rFonts w:hint="eastAsia" w:ascii="宋体" w:hAnsi="宋体" w:eastAsia="宋体"/>
                <w:sz w:val="24"/>
                <w:lang w:val="en-US" w:eastAsia="zh-CN"/>
              </w:rPr>
              <w:t>服务期一年</w:t>
            </w:r>
          </w:p>
        </w:tc>
      </w:tr>
    </w:tbl>
    <w:p w14:paraId="4AB98C46">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eastAsia" w:ascii="宋体" w:hAnsi="宋体" w:eastAsia="宋体" w:cs="宋体"/>
          <w:b/>
          <w:bCs/>
          <w:color w:val="040000"/>
          <w:kern w:val="0"/>
          <w:sz w:val="28"/>
          <w:szCs w:val="28"/>
          <w:lang w:val="en-US" w:eastAsia="zh-CN"/>
        </w:rPr>
      </w:pPr>
      <w:r>
        <w:rPr>
          <w:rFonts w:hint="eastAsia" w:ascii="宋体" w:hAnsi="宋体" w:eastAsia="宋体" w:cs="宋体"/>
          <w:b/>
          <w:bCs/>
          <w:color w:val="040000"/>
          <w:kern w:val="0"/>
          <w:sz w:val="28"/>
          <w:szCs w:val="28"/>
          <w:lang w:val="en-US" w:eastAsia="zh-CN"/>
        </w:rPr>
        <w:t>二、</w:t>
      </w:r>
      <w:r>
        <w:rPr>
          <w:rFonts w:hint="eastAsia" w:ascii="宋体" w:hAnsi="宋体" w:eastAsia="宋体" w:cs="宋体"/>
          <w:b/>
          <w:bCs/>
          <w:color w:val="040000"/>
          <w:kern w:val="0"/>
          <w:sz w:val="28"/>
          <w:szCs w:val="28"/>
        </w:rPr>
        <w:t>服务内容</w:t>
      </w:r>
    </w:p>
    <w:p w14:paraId="5539F7EE">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default" w:ascii="宋体" w:hAnsi="宋体" w:eastAsia="宋体" w:cs="宋体"/>
          <w:b/>
          <w:bCs/>
          <w:color w:val="040000"/>
          <w:kern w:val="0"/>
          <w:sz w:val="28"/>
          <w:szCs w:val="28"/>
          <w:lang w:val="en-US"/>
        </w:rPr>
      </w:pPr>
      <w:r>
        <w:rPr>
          <w:rFonts w:hint="eastAsia" w:ascii="宋体" w:hAnsi="宋体" w:cs="宋体"/>
          <w:b/>
          <w:bCs/>
          <w:color w:val="040000"/>
          <w:kern w:val="0"/>
          <w:sz w:val="28"/>
          <w:szCs w:val="28"/>
          <w:lang w:val="en-US" w:eastAsia="zh-CN"/>
        </w:rPr>
        <w:t>1、</w:t>
      </w:r>
      <w:r>
        <w:rPr>
          <w:rFonts w:hint="eastAsia" w:ascii="宋体" w:hAnsi="宋体" w:eastAsia="宋体" w:cs="宋体"/>
          <w:b/>
          <w:bCs/>
          <w:color w:val="040000"/>
          <w:kern w:val="0"/>
          <w:sz w:val="28"/>
          <w:szCs w:val="28"/>
          <w:lang w:val="en-US" w:eastAsia="zh-CN"/>
        </w:rPr>
        <w:t>监控维修要求：</w:t>
      </w:r>
    </w:p>
    <w:p w14:paraId="4A194139">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1</w:t>
      </w: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、维修现场安全评估</w:t>
      </w:r>
    </w:p>
    <w:p w14:paraId="67AE650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维修现场的安全评估是维修前准备工作的重要环节。维修前应对现场环境进行全面检查，识别并消除潜在的安全隐患。例如，确保维修区域有足够的照明、通风和逃生通道；检查电源线路是否完好无损，避免发生触电事故；以及确认维修过程中可能产生的废弃物处理方式等。通过全面的安全评估，为维修工作的顺利进行提供坚实的安全保障。同时，应制定相应的安全措施和应急预案，以应对可能出现的意外情况。</w:t>
      </w:r>
    </w:p>
    <w:p w14:paraId="73D1CAE7">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2、故障排除流程  </w:t>
      </w:r>
    </w:p>
    <w:p w14:paraId="17B717F1">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2.1.故障报告</w:t>
      </w:r>
      <w:r>
        <w:rPr>
          <w:rFonts w:hint="eastAsia" w:ascii="宋体" w:hAnsi="宋体" w:cs="宋体"/>
          <w:color w:val="040000"/>
          <w:kern w:val="0"/>
          <w:sz w:val="24"/>
          <w:szCs w:val="24"/>
          <w:lang w:val="en-US" w:eastAsia="zh-CN"/>
        </w:rPr>
        <w:t>，</w:t>
      </w:r>
      <w:r>
        <w:rPr>
          <w:rFonts w:hint="eastAsia" w:ascii="宋体" w:hAnsi="宋体" w:eastAsia="宋体" w:cs="宋体"/>
          <w:color w:val="040000"/>
          <w:kern w:val="0"/>
          <w:sz w:val="24"/>
          <w:szCs w:val="24"/>
          <w:lang w:val="en-US" w:eastAsia="zh-CN"/>
        </w:rPr>
        <w:t xml:space="preserve">检查监控系统故障时，应立即填写故障报告，内容包括：  </w:t>
      </w:r>
    </w:p>
    <w:p w14:paraId="076B96C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2.1.1.故障设备信息（设备名称、型号、序列号）。  </w:t>
      </w:r>
    </w:p>
    <w:p w14:paraId="59DB99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2.1.2故障现象描述（如画面卡顿、黑屏、无法连接等）。  </w:t>
      </w:r>
    </w:p>
    <w:p w14:paraId="773C843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2.1.3.故障发生时间、频率、持续时间。  </w:t>
      </w:r>
    </w:p>
    <w:p w14:paraId="61A1DC14">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2.1.4.已尝试的修复措施（如重启设备、检查连接等）。  </w:t>
      </w:r>
    </w:p>
    <w:p w14:paraId="39071E29">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2.2.故障分类与优先级</w:t>
      </w:r>
      <w:r>
        <w:rPr>
          <w:rFonts w:hint="eastAsia" w:ascii="宋体" w:hAnsi="宋体" w:cs="宋体"/>
          <w:color w:val="040000"/>
          <w:kern w:val="0"/>
          <w:sz w:val="24"/>
          <w:szCs w:val="24"/>
          <w:lang w:val="en-US" w:eastAsia="zh-CN"/>
        </w:rPr>
        <w:t>，</w:t>
      </w:r>
      <w:r>
        <w:rPr>
          <w:rFonts w:hint="eastAsia" w:ascii="宋体" w:hAnsi="宋体" w:eastAsia="宋体" w:cs="宋体"/>
          <w:color w:val="040000"/>
          <w:kern w:val="0"/>
          <w:sz w:val="24"/>
          <w:szCs w:val="24"/>
          <w:lang w:val="en-US" w:eastAsia="zh-CN"/>
        </w:rPr>
        <w:t xml:space="preserve">根据故障的严重程度和影响范围，将故障分为以下三类：  </w:t>
      </w:r>
    </w:p>
    <w:p w14:paraId="139678F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2.2.1.紧急故障（如摄像头完全失效、录像数据丢失等）。  </w:t>
      </w:r>
    </w:p>
    <w:p w14:paraId="38B60D4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2.2.2.重要故障（如画面卡顿、网络不稳定等）。  </w:t>
      </w:r>
    </w:p>
    <w:p w14:paraId="4DDE9DD5">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2.2.3.一般故障（如镜头轻微污损、指示灯异常、室外防水箱的损坏情况等）。  </w:t>
      </w:r>
    </w:p>
    <w:p w14:paraId="02F32DB5">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2.3.故障排查步骤  </w:t>
      </w:r>
    </w:p>
    <w:p w14:paraId="7C13612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2.3.1.硬件方面，包括对摄像头设备本身的性能检测，如检查镜头是否完好、光圈调节是否正常、内部电子元件是否有损坏等；对线路连接状态进行细致检查，确认所有线路均无破损、老化、虚接等问题，且布局走线符合规范要求；对供电电源的质量进行评估，包括电压稳定性、功率供应充足性以及抗干扰能力等方面。</w:t>
      </w:r>
    </w:p>
    <w:p w14:paraId="05393733">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2.3.2.软件方面，需要对监控系统的配置参数进行全面核查，确认各项设置均符合实际使用需求和系统规范；通过查看系统日志文件来追踪故障发生前后的系统运行状态变化，寻找可能的软件错误或配置失误导致的故障；对系统运行的软件环境进行诊断，比如操作系统性能、软件版本兼容性、数据库连接状况等；网络通信层面，需要检查监控系统内部各组件之间的数据传输链路是否正常，网络带宽是否满足实时传输需求，以及网络交换机、路由器等设备的运行状态是否正常。</w:t>
      </w:r>
    </w:p>
    <w:p w14:paraId="740CD3C7">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2.4.维修实施流程  </w:t>
      </w:r>
    </w:p>
    <w:p w14:paraId="777A90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2.4.1硬件维修</w:t>
      </w:r>
    </w:p>
    <w:p w14:paraId="6CED121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在硬件维修阶段，首先需要对出现的硬件故障进行精确的诊断和分析，确定故障的具体部位和原因。一旦故障原因查明，要根据实际情况制定相应的维修或更换方案。在更换硬件时，不仅要确保新硬件与现有系统的各项指标和性能相匹配，保证兼容性，还要严格遵循相关操作规范，细致地进行硬件安装和调试工作，确保新硬件能够顺利融入系统，并立即投入正常运行。对于选择修复硬件的情况，需深入剖析故障机理，采取精准而科学的修复手段和技术，对受损硬件进行精细修复。在修复过程中，要充分测试和验证修复效果，确保修复后的硬件在性能指标、稳定性、兼容性等方面都达到原厂规格，甚至优于原有状态，从而实现硬件的高效复原和稳定运行。</w:t>
      </w:r>
    </w:p>
    <w:p w14:paraId="36E5D8D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2.4.2软件调试与升级</w:t>
      </w:r>
    </w:p>
    <w:p w14:paraId="47FBF09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在软件故障处理方面，要根据监控系统出现的异常表现以及排查结果，对系统软件进行有针对性的调试和升级。同时必须关注软件版本与系统硬件的适配性，提前做好兼容性测试，并在升级或调试前后对软件进行全面、彻底的测试验证，以保证升级后的软件能够在系统上稳定运行，满足用户提出的各项功能需求，同时提升系统的整体性能和安全性。</w:t>
      </w:r>
    </w:p>
    <w:p w14:paraId="68FA6974">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2.4.3.系统功能测试</w:t>
      </w:r>
    </w:p>
    <w:p w14:paraId="5C0BC42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完成硬件维修和软件调试升级后，必须进行全面的系统功能测试，保证监控系统的各项功能必须恢复正常，并确保其性能达到甚至超越原有标准。测试内容包括但不限于：检查监控画面质量，确保图像清晰、流畅无卡顿；测试系统的实时响应能力，验证报警联动等功能的准确性和稳定性；最后还要评估系统与其他相关设备或系统的协同工作效能。</w:t>
      </w:r>
    </w:p>
    <w:p w14:paraId="06621CDB">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 安全与注意事项  </w:t>
      </w:r>
    </w:p>
    <w:p w14:paraId="1D6611D8">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3.1.操作安全  </w:t>
      </w:r>
    </w:p>
    <w:p w14:paraId="3E50341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3.1.1.维修过程中需佩戴绝缘手套，避免触电。  </w:t>
      </w:r>
    </w:p>
    <w:p w14:paraId="383431D6">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3.1.2.在检查电源时，确保设备断电后再操作。  </w:t>
      </w:r>
    </w:p>
    <w:p w14:paraId="163F5D0A">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3.2.数据安全  </w:t>
      </w:r>
    </w:p>
    <w:p w14:paraId="343EADA2">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3.2.1.在更换硬盘或升级系统前，务必备份重要数据。  </w:t>
      </w:r>
    </w:p>
    <w:p w14:paraId="2F08282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3.2.2.在未授权的情况下严禁修改设备配置参数。  </w:t>
      </w:r>
    </w:p>
    <w:p w14:paraId="1C009C54">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3.3.环境安全  </w:t>
      </w:r>
    </w:p>
    <w:p w14:paraId="0927DD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 xml:space="preserve">确保摄像头安装位置远离潮湿、高温环境，防止设备老化。  </w:t>
      </w:r>
    </w:p>
    <w:p w14:paraId="1ABFCB23">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4、验收</w:t>
      </w:r>
    </w:p>
    <w:p w14:paraId="7FA098F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维修工作完成后，需要对维修质量进行全面检查、验收。验收工作包括对硬件的安装和检修进行检查，确保硬件设备已经按照规定正确安装，运行稳定。同时，需要对软件系统进行检查，确保软件配置正确，功能完善。还需要对监控系统整体性能进行检查，确保系统能够满足使用需求和安全标准等。只有当所有检查都合格时，才能确认维修工作完成。</w:t>
      </w:r>
    </w:p>
    <w:p w14:paraId="31B4DE7A">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5、文档管理</w:t>
      </w:r>
    </w:p>
    <w:p w14:paraId="5682DCE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5.1.建立完整的设备档案，记录设备型号、安装位置、维护记录等信息。  </w:t>
      </w:r>
    </w:p>
    <w:p w14:paraId="6420DC02">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5.2.保存故障报告、维修记录、升级日志，便于后续查询和分析。 </w:t>
      </w:r>
    </w:p>
    <w:p w14:paraId="5E1869B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default"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1.6、主要维修材料清单（包含但不限于）</w:t>
      </w:r>
    </w:p>
    <w:tbl>
      <w:tblPr>
        <w:tblStyle w:val="40"/>
        <w:tblW w:w="111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2562"/>
        <w:gridCol w:w="3675"/>
        <w:gridCol w:w="1350"/>
        <w:gridCol w:w="1080"/>
        <w:gridCol w:w="1651"/>
      </w:tblGrid>
      <w:tr w14:paraId="57086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23E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2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57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2A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C8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48AA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备注</w:t>
            </w:r>
          </w:p>
        </w:tc>
      </w:tr>
      <w:tr w14:paraId="09DC3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98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94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枪机</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6E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海康DS-2CD1245-LA(4MM/POE)</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50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9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1A1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8E65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0D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1D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半球</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A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海康DS-2CD1345-LA(4MM/POE)</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1E5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4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74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F571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6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5F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枪机支架</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C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海康DS-1212ZJ</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F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74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BB7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2139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FEE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A6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电源适配器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770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小耳朵STD-K2L-N</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6A6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6F7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CCA6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222C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4E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D9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室外防水设备箱</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6C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300*400*170不锈钢</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3D3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079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B0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C83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C8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DF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千兆单模光纤收发器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5C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光训</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7A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C50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C34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EE5F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5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AA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POE千兆交换机</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F1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IP-COM G110P-C</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C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D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D7F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F3D2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6AC0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31D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网络线缆</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34E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36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3AB7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A32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C60E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6E1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77A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塑料线管</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32B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3B6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5D4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6FE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03EFB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4E3EA">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0F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硬件维修人工费</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3B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CC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3783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6BC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21AB6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6A2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5F1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道路开挖费用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D61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C48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C34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D59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0F28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B7C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92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线管预埋人工费用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2C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9D5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E52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F2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7557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D319F">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C52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系统调试、软件升级</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17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DF1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A2CA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21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5922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94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DC1D1">
            <w:pPr>
              <w:keepNext w:val="0"/>
              <w:keepLines w:val="0"/>
              <w:widowControl/>
              <w:suppressLineNumbers w:val="0"/>
              <w:jc w:val="both"/>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注：所投设备、材料及相关产品的品牌、型号须与甲方校园现有管理系统完全兼容，确保维修后各系统能稳定、协同运行。</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A27AD">
            <w:pPr>
              <w:keepNext w:val="0"/>
              <w:keepLines w:val="0"/>
              <w:widowControl/>
              <w:suppressLineNumbers w:val="0"/>
              <w:jc w:val="both"/>
              <w:textAlignment w:val="center"/>
              <w:rPr>
                <w:rFonts w:hint="eastAsia" w:ascii="宋体" w:hAnsi="宋体" w:cs="宋体"/>
                <w:b/>
                <w:bCs/>
                <w:i w:val="0"/>
                <w:iCs w:val="0"/>
                <w:color w:val="000000"/>
                <w:kern w:val="0"/>
                <w:sz w:val="24"/>
                <w:szCs w:val="24"/>
                <w:u w:val="none"/>
                <w:lang w:val="en-US" w:eastAsia="zh-CN" w:bidi="ar"/>
              </w:rPr>
            </w:pPr>
          </w:p>
        </w:tc>
      </w:tr>
    </w:tbl>
    <w:p w14:paraId="562E649E">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eastAsia" w:ascii="宋体" w:hAnsi="宋体" w:eastAsia="宋体" w:cs="宋体"/>
          <w:color w:val="040000"/>
          <w:kern w:val="0"/>
          <w:sz w:val="28"/>
          <w:szCs w:val="28"/>
          <w:lang w:val="en-US" w:eastAsia="zh-CN"/>
        </w:rPr>
      </w:pPr>
      <w:r>
        <w:rPr>
          <w:rFonts w:hint="eastAsia" w:ascii="宋体" w:hAnsi="宋体" w:cs="宋体"/>
          <w:b/>
          <w:bCs/>
          <w:color w:val="040000"/>
          <w:kern w:val="0"/>
          <w:sz w:val="28"/>
          <w:szCs w:val="28"/>
          <w:lang w:val="en-US" w:eastAsia="zh-CN"/>
        </w:rPr>
        <w:t>2、</w:t>
      </w:r>
      <w:r>
        <w:rPr>
          <w:rFonts w:hint="eastAsia" w:ascii="宋体" w:hAnsi="宋体" w:eastAsia="宋体" w:cs="宋体"/>
          <w:b/>
          <w:bCs/>
          <w:color w:val="040000"/>
          <w:kern w:val="0"/>
          <w:sz w:val="28"/>
          <w:szCs w:val="28"/>
          <w:lang w:val="en-US" w:eastAsia="zh-CN"/>
        </w:rPr>
        <w:t>监控</w:t>
      </w:r>
      <w:r>
        <w:rPr>
          <w:rFonts w:hint="eastAsia" w:ascii="宋体" w:hAnsi="宋体" w:cs="宋体"/>
          <w:b/>
          <w:bCs/>
          <w:color w:val="040000"/>
          <w:kern w:val="0"/>
          <w:sz w:val="28"/>
          <w:szCs w:val="28"/>
          <w:lang w:val="en-US" w:eastAsia="zh-CN"/>
        </w:rPr>
        <w:t>系统维保</w:t>
      </w:r>
      <w:r>
        <w:rPr>
          <w:rFonts w:hint="eastAsia" w:ascii="宋体" w:hAnsi="宋体" w:eastAsia="宋体" w:cs="宋体"/>
          <w:b/>
          <w:bCs/>
          <w:color w:val="040000"/>
          <w:kern w:val="0"/>
          <w:sz w:val="28"/>
          <w:szCs w:val="28"/>
          <w:lang w:val="en-US" w:eastAsia="zh-CN"/>
        </w:rPr>
        <w:t>要求：</w:t>
      </w:r>
    </w:p>
    <w:p w14:paraId="12CEB6C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w:t>
      </w:r>
      <w:r>
        <w:rPr>
          <w:rFonts w:hint="eastAsia" w:ascii="宋体" w:hAnsi="宋体" w:cs="宋体"/>
          <w:color w:val="040000"/>
          <w:kern w:val="0"/>
          <w:sz w:val="24"/>
          <w:szCs w:val="24"/>
          <w:lang w:val="en-US" w:eastAsia="zh-CN"/>
        </w:rPr>
        <w:t>维保</w:t>
      </w:r>
      <w:r>
        <w:rPr>
          <w:rFonts w:hint="eastAsia" w:ascii="宋体" w:hAnsi="宋体" w:eastAsia="宋体" w:cs="宋体"/>
          <w:color w:val="040000"/>
          <w:kern w:val="0"/>
          <w:sz w:val="24"/>
          <w:szCs w:val="24"/>
        </w:rPr>
        <w:t>服务</w:t>
      </w:r>
      <w:r>
        <w:rPr>
          <w:rFonts w:hint="eastAsia" w:ascii="宋体" w:hAnsi="宋体" w:eastAsia="宋体" w:cs="宋体"/>
          <w:color w:val="040000"/>
          <w:kern w:val="0"/>
          <w:sz w:val="24"/>
          <w:szCs w:val="24"/>
          <w:lang w:val="en-US" w:eastAsia="zh-CN"/>
        </w:rPr>
        <w:t>内容</w:t>
      </w:r>
    </w:p>
    <w:p w14:paraId="17D3287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w:t>
      </w:r>
      <w:r>
        <w:rPr>
          <w:rFonts w:hint="eastAsia" w:ascii="宋体" w:hAnsi="宋体" w:eastAsia="宋体" w:cs="宋体"/>
          <w:color w:val="040000"/>
          <w:kern w:val="0"/>
          <w:sz w:val="24"/>
          <w:szCs w:val="24"/>
        </w:rPr>
        <w:t>通过对整个系统进行预防性维护，对系统运行状况进行定制化的检查、调整、清洁、设备检测调试，同时出具详细的系统维护保养报告及系统设备检测表，对系统存在的各方面问题及解决方案进行陈述，提交系统的运行状况及安全隐患报告，并对需要维修的设备及时进行修理或更换，保证整个系统的不间断运行。</w:t>
      </w:r>
      <w:r>
        <w:rPr>
          <w:rFonts w:hint="eastAsia" w:ascii="宋体" w:hAnsi="宋体" w:cs="宋体"/>
          <w:b/>
          <w:bCs/>
          <w:color w:val="040000"/>
          <w:kern w:val="0"/>
          <w:sz w:val="24"/>
          <w:szCs w:val="24"/>
          <w:lang w:val="en-US" w:eastAsia="zh-CN"/>
        </w:rPr>
        <w:t>维保</w:t>
      </w:r>
      <w:r>
        <w:rPr>
          <w:rFonts w:hint="eastAsia" w:ascii="宋体" w:hAnsi="宋体" w:eastAsia="宋体" w:cs="宋体"/>
          <w:b/>
          <w:bCs/>
          <w:color w:val="040000"/>
          <w:kern w:val="0"/>
          <w:sz w:val="24"/>
          <w:szCs w:val="24"/>
        </w:rPr>
        <w:t>整体服务周期为</w:t>
      </w:r>
      <w:r>
        <w:rPr>
          <w:rFonts w:hint="eastAsia" w:ascii="宋体" w:hAnsi="宋体" w:eastAsia="宋体" w:cs="宋体"/>
          <w:b/>
          <w:bCs/>
          <w:color w:val="040000"/>
          <w:kern w:val="0"/>
          <w:sz w:val="24"/>
          <w:szCs w:val="24"/>
          <w:lang w:val="en-US" w:eastAsia="zh-CN"/>
        </w:rPr>
        <w:t>1</w:t>
      </w:r>
      <w:r>
        <w:rPr>
          <w:rFonts w:hint="eastAsia" w:ascii="宋体" w:hAnsi="宋体" w:eastAsia="宋体" w:cs="宋体"/>
          <w:b/>
          <w:bCs/>
          <w:color w:val="040000"/>
          <w:kern w:val="0"/>
          <w:sz w:val="24"/>
          <w:szCs w:val="24"/>
        </w:rPr>
        <w:t>年，自</w:t>
      </w:r>
      <w:r>
        <w:rPr>
          <w:rFonts w:hint="eastAsia" w:ascii="宋体" w:hAnsi="宋体" w:eastAsia="宋体" w:cs="宋体"/>
          <w:b/>
          <w:bCs/>
          <w:color w:val="040000"/>
          <w:kern w:val="0"/>
          <w:sz w:val="24"/>
          <w:szCs w:val="24"/>
          <w:lang w:val="en-US" w:eastAsia="zh-CN"/>
        </w:rPr>
        <w:t>维修完成验收合格</w:t>
      </w:r>
      <w:r>
        <w:rPr>
          <w:rFonts w:hint="eastAsia" w:ascii="宋体" w:hAnsi="宋体" w:eastAsia="宋体" w:cs="宋体"/>
          <w:b/>
          <w:bCs/>
          <w:color w:val="040000"/>
          <w:kern w:val="0"/>
          <w:sz w:val="24"/>
          <w:szCs w:val="24"/>
        </w:rPr>
        <w:t>之日起计算</w:t>
      </w:r>
      <w:r>
        <w:rPr>
          <w:rFonts w:hint="eastAsia" w:ascii="宋体" w:hAnsi="宋体" w:eastAsia="宋体" w:cs="宋体"/>
          <w:color w:val="040000"/>
          <w:kern w:val="0"/>
          <w:sz w:val="24"/>
          <w:szCs w:val="24"/>
        </w:rPr>
        <w:t>。</w:t>
      </w:r>
    </w:p>
    <w:p w14:paraId="1B243B0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1.2.</w:t>
      </w:r>
      <w:r>
        <w:rPr>
          <w:rFonts w:hint="eastAsia" w:ascii="宋体" w:hAnsi="宋体" w:eastAsia="宋体" w:cs="宋体"/>
          <w:color w:val="040000"/>
          <w:kern w:val="0"/>
          <w:sz w:val="24"/>
          <w:szCs w:val="24"/>
        </w:rPr>
        <w:t>服务周期内，运维服务商提供包括巡检、维护、维修、故障排除、前端摄像机镜头除尘、系统优化、软件升级、应急服务、数据容灾在内的多项服务，确保服务周期内前端摄像机在线率不低于99%，服务标准以满足日常优质的视频监控需要为准则。</w:t>
      </w:r>
    </w:p>
    <w:p w14:paraId="54457A05">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1.3.</w:t>
      </w:r>
      <w:r>
        <w:rPr>
          <w:rFonts w:hint="eastAsia" w:ascii="宋体" w:hAnsi="宋体" w:eastAsia="宋体" w:cs="宋体"/>
          <w:color w:val="040000"/>
          <w:kern w:val="0"/>
          <w:sz w:val="24"/>
          <w:szCs w:val="24"/>
        </w:rPr>
        <w:t>故障处理：服务周期内，实时响应系统故障自动告警，维修人员在2小时内到达现场，非运营商线路与供电问题6小时内完成维修，8小时完成更换和系统恢复；在硬件方面：对于前端摄像机灰尘于24小时内清除干净，每月除尘一次。后端设备每半年除尘一次。对于损坏的设备，前端设备在8小时内、平台设备在24小时内完成损坏设备的更换，使系统或设备恢复正常工作；同一设备一个月内连续三次出现同一故障，无偿更换同一档次的设备；相关费用由服务商承担。</w:t>
      </w:r>
    </w:p>
    <w:p w14:paraId="4F52904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1.4.</w:t>
      </w:r>
      <w:r>
        <w:rPr>
          <w:rFonts w:hint="eastAsia" w:ascii="宋体" w:hAnsi="宋体" w:eastAsia="宋体" w:cs="宋体"/>
          <w:color w:val="040000"/>
          <w:kern w:val="0"/>
          <w:sz w:val="24"/>
          <w:szCs w:val="24"/>
        </w:rPr>
        <w:t>电话支持：提供24小时电话技术指导和现场咨询服务。</w:t>
      </w:r>
    </w:p>
    <w:p w14:paraId="23D678F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1.5.</w:t>
      </w:r>
      <w:r>
        <w:rPr>
          <w:rFonts w:hint="eastAsia" w:ascii="宋体" w:hAnsi="宋体" w:eastAsia="宋体" w:cs="宋体"/>
          <w:color w:val="040000"/>
          <w:kern w:val="0"/>
          <w:sz w:val="24"/>
          <w:szCs w:val="24"/>
        </w:rPr>
        <w:t>软件服务：服务商免费为业主提供软件升级、版本更换和技术支持，并提供免费技术资料，保持服务周期内系统在国内的技术先进性。</w:t>
      </w:r>
    </w:p>
    <w:p w14:paraId="5B007E7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1.6.</w:t>
      </w:r>
      <w:r>
        <w:rPr>
          <w:rFonts w:hint="eastAsia" w:ascii="宋体" w:hAnsi="宋体" w:eastAsia="宋体" w:cs="宋体"/>
          <w:color w:val="040000"/>
          <w:kern w:val="0"/>
          <w:sz w:val="24"/>
          <w:szCs w:val="24"/>
        </w:rPr>
        <w:t>系统优化：根据巡检报告，提供优化方案，每年不少于</w:t>
      </w: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rPr>
        <w:t>次；经业主认可后，进行系统优化的执行；系统优化尽可能不影响系统正常运行。</w:t>
      </w:r>
    </w:p>
    <w:p w14:paraId="6692F40A">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1.7.</w:t>
      </w:r>
      <w:r>
        <w:rPr>
          <w:rFonts w:hint="eastAsia" w:ascii="宋体" w:hAnsi="宋体" w:eastAsia="宋体" w:cs="宋体"/>
          <w:color w:val="040000"/>
          <w:kern w:val="0"/>
          <w:sz w:val="24"/>
          <w:szCs w:val="24"/>
        </w:rPr>
        <w:t>技术培训：提供一般工作人员的操作培训和技术人员的原厂技术培训，使其具备数字视频系统操作管理维护能力</w:t>
      </w:r>
      <w:r>
        <w:rPr>
          <w:rFonts w:hint="eastAsia" w:ascii="宋体" w:hAnsi="宋体" w:eastAsia="宋体" w:cs="宋体"/>
          <w:color w:val="040000"/>
          <w:kern w:val="0"/>
          <w:sz w:val="24"/>
          <w:szCs w:val="24"/>
          <w:lang w:eastAsia="zh-CN"/>
        </w:rPr>
        <w:t>。</w:t>
      </w:r>
    </w:p>
    <w:p w14:paraId="2B58FFB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1.8.</w:t>
      </w:r>
      <w:r>
        <w:rPr>
          <w:rFonts w:hint="eastAsia" w:ascii="宋体" w:hAnsi="宋体" w:eastAsia="宋体" w:cs="宋体"/>
          <w:color w:val="040000"/>
          <w:kern w:val="0"/>
          <w:sz w:val="24"/>
          <w:szCs w:val="24"/>
        </w:rPr>
        <w:t>应急保障服务：特殊重大活动期间，按业主需求安排满足保障需求的现场保障服务。</w:t>
      </w:r>
    </w:p>
    <w:p w14:paraId="5EC1E8CE">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1.9.</w:t>
      </w:r>
      <w:r>
        <w:rPr>
          <w:rFonts w:hint="eastAsia" w:ascii="宋体" w:hAnsi="宋体" w:eastAsia="宋体" w:cs="宋体"/>
          <w:color w:val="040000"/>
          <w:kern w:val="0"/>
          <w:sz w:val="24"/>
          <w:szCs w:val="24"/>
        </w:rPr>
        <w:t>前端设备监控、设备巡检、线路及平台设备巡检：服务商提供不少于每月一次的日常巡检以及全天候在线式设备故障巡检；故障自动告警后主动响应时间不超过30分钟。日常巡检在完成后三日内提供巡检报告。</w:t>
      </w:r>
    </w:p>
    <w:p w14:paraId="261F526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1.10.</w:t>
      </w:r>
      <w:r>
        <w:rPr>
          <w:rFonts w:hint="eastAsia" w:ascii="宋体" w:hAnsi="宋体" w:eastAsia="宋体" w:cs="宋体"/>
          <w:color w:val="040000"/>
          <w:kern w:val="0"/>
          <w:sz w:val="24"/>
          <w:szCs w:val="24"/>
        </w:rPr>
        <w:t>在服务周期内，因服务商所供设备、材料以及安装质量等问题出现设备及其它故障时，免费排除故障、修复或更换零部件，同时支付因更换零部件所发生的运输、保险、安装、检测等有关的全部费用。服务商如不及时修理，业主有权请其他单位派人修理，发生费用在当年应付款中按实扣除。</w:t>
      </w:r>
    </w:p>
    <w:p w14:paraId="7E2B48D6">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1.11.</w:t>
      </w:r>
      <w:r>
        <w:rPr>
          <w:rFonts w:hint="eastAsia" w:ascii="宋体" w:hAnsi="宋体" w:eastAsia="宋体" w:cs="宋体"/>
          <w:color w:val="040000"/>
          <w:kern w:val="0"/>
          <w:sz w:val="24"/>
          <w:szCs w:val="24"/>
        </w:rPr>
        <w:t>服务商承诺</w:t>
      </w:r>
      <w:r>
        <w:rPr>
          <w:rFonts w:hint="eastAsia" w:ascii="宋体" w:hAnsi="宋体" w:cs="宋体"/>
          <w:color w:val="040000"/>
          <w:kern w:val="0"/>
          <w:sz w:val="24"/>
          <w:szCs w:val="24"/>
          <w:lang w:val="en-US" w:eastAsia="zh-CN"/>
        </w:rPr>
        <w:t>及时</w:t>
      </w:r>
      <w:r>
        <w:rPr>
          <w:rFonts w:hint="eastAsia" w:ascii="宋体" w:hAnsi="宋体" w:eastAsia="宋体" w:cs="宋体"/>
          <w:color w:val="040000"/>
          <w:kern w:val="0"/>
          <w:sz w:val="24"/>
          <w:szCs w:val="24"/>
        </w:rPr>
        <w:t>响应、响应时间不超过0.5小时，并能在2小时内到达现场。</w:t>
      </w:r>
    </w:p>
    <w:p w14:paraId="79246EC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2</w:t>
      </w:r>
      <w:r>
        <w:rPr>
          <w:rFonts w:hint="eastAsia" w:ascii="宋体" w:hAnsi="宋体" w:eastAsia="宋体" w:cs="宋体"/>
          <w:color w:val="040000"/>
          <w:kern w:val="0"/>
          <w:sz w:val="24"/>
          <w:szCs w:val="24"/>
        </w:rPr>
        <w:t>、维保人员承诺</w:t>
      </w:r>
    </w:p>
    <w:p w14:paraId="7B49FFD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eastAsia="宋体" w:cs="宋体"/>
          <w:color w:val="040000"/>
          <w:kern w:val="0"/>
          <w:sz w:val="24"/>
          <w:szCs w:val="24"/>
        </w:rPr>
        <w:t>维保人员佩戴维保单位的标识</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维保作业中，</w:t>
      </w:r>
      <w:r>
        <w:rPr>
          <w:rFonts w:hint="eastAsia" w:ascii="宋体" w:hAnsi="宋体" w:cs="宋体"/>
          <w:color w:val="040000"/>
          <w:kern w:val="0"/>
          <w:sz w:val="24"/>
          <w:szCs w:val="24"/>
          <w:lang w:val="en-US" w:eastAsia="zh-CN"/>
        </w:rPr>
        <w:t>服务商</w:t>
      </w:r>
      <w:r>
        <w:rPr>
          <w:rFonts w:hint="eastAsia" w:ascii="宋体" w:hAnsi="宋体" w:eastAsia="宋体" w:cs="宋体"/>
          <w:color w:val="040000"/>
          <w:kern w:val="0"/>
          <w:sz w:val="24"/>
          <w:szCs w:val="24"/>
        </w:rPr>
        <w:t>安排现场作业人员1人，要求有电工证</w:t>
      </w:r>
      <w:r>
        <w:rPr>
          <w:rFonts w:hint="eastAsia" w:ascii="宋体" w:hAnsi="宋体" w:cs="宋体"/>
          <w:color w:val="040000"/>
          <w:kern w:val="0"/>
          <w:sz w:val="24"/>
          <w:szCs w:val="24"/>
          <w:lang w:eastAsia="zh-CN"/>
        </w:rPr>
        <w:t>，</w:t>
      </w:r>
      <w:r>
        <w:rPr>
          <w:rFonts w:hint="eastAsia" w:ascii="宋体" w:hAnsi="宋体" w:eastAsia="宋体" w:cs="宋体"/>
          <w:color w:val="040000"/>
          <w:kern w:val="0"/>
          <w:sz w:val="24"/>
          <w:szCs w:val="24"/>
        </w:rPr>
        <w:t>负责落实现场安全防护措施，保证作业安全、人身安全</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在维保系统核心部位时，在有业主单位人员在场情况下进行</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维保工作过程中因服务商维保人员操作失误，或其他系服务商维保人员原因造成的差错由服务商负责</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维保人员</w:t>
      </w:r>
      <w:r>
        <w:rPr>
          <w:rFonts w:hint="eastAsia" w:ascii="宋体" w:hAnsi="宋体" w:cs="宋体"/>
          <w:color w:val="040000"/>
          <w:kern w:val="0"/>
          <w:sz w:val="24"/>
          <w:szCs w:val="24"/>
          <w:lang w:val="en-US" w:eastAsia="zh-CN"/>
        </w:rPr>
        <w:t>须</w:t>
      </w:r>
      <w:r>
        <w:rPr>
          <w:rFonts w:hint="eastAsia" w:ascii="宋体" w:hAnsi="宋体" w:eastAsia="宋体" w:cs="宋体"/>
          <w:color w:val="040000"/>
          <w:kern w:val="0"/>
          <w:sz w:val="24"/>
          <w:szCs w:val="24"/>
        </w:rPr>
        <w:t>遵守安全保密工作规定。</w:t>
      </w:r>
    </w:p>
    <w:p w14:paraId="54FE264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w:t>
      </w:r>
      <w:r>
        <w:rPr>
          <w:rFonts w:hint="eastAsia" w:ascii="宋体" w:hAnsi="宋体" w:eastAsia="宋体" w:cs="宋体"/>
          <w:color w:val="040000"/>
          <w:kern w:val="0"/>
          <w:sz w:val="24"/>
          <w:szCs w:val="24"/>
        </w:rPr>
        <w:t>、维保内容承诺</w:t>
      </w:r>
    </w:p>
    <w:p w14:paraId="3D2D56A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3.1.</w:t>
      </w:r>
      <w:r>
        <w:rPr>
          <w:rFonts w:hint="eastAsia" w:ascii="宋体" w:hAnsi="宋体" w:eastAsia="宋体" w:cs="宋体"/>
          <w:color w:val="040000"/>
          <w:kern w:val="0"/>
          <w:sz w:val="24"/>
          <w:szCs w:val="24"/>
        </w:rPr>
        <w:t>前端：检查杆件是否存在损坏和有障碍物，检查摄像头设备是否存在损坏和球机外罩是否清洁，检查云台、护罩、控制箱是否存在损坏；前端维修每季度1次。</w:t>
      </w:r>
    </w:p>
    <w:p w14:paraId="1BF107F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default"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3.2.</w:t>
      </w:r>
      <w:r>
        <w:rPr>
          <w:rFonts w:hint="eastAsia" w:ascii="宋体" w:hAnsi="宋体" w:eastAsia="宋体" w:cs="宋体"/>
          <w:color w:val="040000"/>
          <w:kern w:val="0"/>
          <w:sz w:val="24"/>
          <w:szCs w:val="24"/>
        </w:rPr>
        <w:t>传输：电缆和光缆线路是否裸露、破损</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信号是否衰减；传输维修每</w:t>
      </w:r>
      <w:r>
        <w:rPr>
          <w:rFonts w:hint="eastAsia" w:ascii="宋体" w:hAnsi="宋体" w:eastAsia="宋体" w:cs="宋体"/>
          <w:color w:val="040000"/>
          <w:kern w:val="0"/>
          <w:sz w:val="24"/>
          <w:szCs w:val="24"/>
          <w:lang w:val="en-US" w:eastAsia="zh-CN"/>
        </w:rPr>
        <w:t>半</w:t>
      </w:r>
      <w:r>
        <w:rPr>
          <w:rFonts w:hint="eastAsia" w:ascii="宋体" w:hAnsi="宋体" w:eastAsia="宋体" w:cs="宋体"/>
          <w:color w:val="040000"/>
          <w:kern w:val="0"/>
          <w:sz w:val="24"/>
          <w:szCs w:val="24"/>
        </w:rPr>
        <w:t>年</w:t>
      </w:r>
      <w:r>
        <w:rPr>
          <w:rFonts w:hint="eastAsia" w:ascii="宋体" w:hAnsi="宋体" w:eastAsia="宋体" w:cs="宋体"/>
          <w:color w:val="040000"/>
          <w:kern w:val="0"/>
          <w:sz w:val="24"/>
          <w:szCs w:val="24"/>
          <w:lang w:val="en-US" w:eastAsia="zh-CN"/>
        </w:rPr>
        <w:t>1</w:t>
      </w:r>
      <w:r>
        <w:rPr>
          <w:rFonts w:hint="eastAsia" w:ascii="宋体" w:hAnsi="宋体" w:eastAsia="宋体" w:cs="宋体"/>
          <w:color w:val="040000"/>
          <w:kern w:val="0"/>
          <w:sz w:val="24"/>
          <w:szCs w:val="24"/>
        </w:rPr>
        <w:t>次</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lang w:val="en-US" w:eastAsia="zh-CN"/>
        </w:rPr>
        <w:t>若突发意外，随时维修。</w:t>
      </w:r>
    </w:p>
    <w:p w14:paraId="2F0432D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3.3</w:t>
      </w:r>
      <w:r>
        <w:rPr>
          <w:rFonts w:hint="eastAsia" w:ascii="宋体" w:hAnsi="宋体" w:eastAsia="宋体" w:cs="宋体"/>
          <w:b/>
          <w:bCs/>
          <w:color w:val="040000"/>
          <w:kern w:val="0"/>
          <w:sz w:val="24"/>
          <w:szCs w:val="24"/>
          <w:lang w:val="en-US" w:eastAsia="zh-CN"/>
        </w:rPr>
        <w:t>.维保过程中，若有硬件更换的，价格在50元内的硬件由服务商免费更换，50元以上的由服务商列出清单递交采购人，由采购人采购。</w:t>
      </w:r>
    </w:p>
    <w:p w14:paraId="05040658">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w:t>
      </w:r>
      <w:r>
        <w:rPr>
          <w:rFonts w:hint="eastAsia" w:ascii="宋体" w:hAnsi="宋体" w:eastAsia="宋体" w:cs="宋体"/>
          <w:color w:val="040000"/>
          <w:kern w:val="0"/>
          <w:sz w:val="24"/>
          <w:szCs w:val="24"/>
        </w:rPr>
        <w:t>、维保技术承诺</w:t>
      </w:r>
    </w:p>
    <w:p w14:paraId="4F02042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4.1.</w:t>
      </w:r>
      <w:r>
        <w:rPr>
          <w:rFonts w:hint="eastAsia" w:ascii="宋体" w:hAnsi="宋体" w:eastAsia="宋体" w:cs="宋体"/>
          <w:color w:val="040000"/>
          <w:kern w:val="0"/>
          <w:sz w:val="24"/>
          <w:szCs w:val="24"/>
        </w:rPr>
        <w:t>前端:杆件无倾斜，摄像机定期清洁、确认监控方位和原设计方案相一致，室内、外防护罩应清洁、牢固，进线口密封完好，云台上、下、左、右控制齐全有效，镜头的调整、控制齐全有效，控制线外观无破损及箱内所有设备运转正常。</w:t>
      </w:r>
    </w:p>
    <w:p w14:paraId="1CAB8F3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4.2.</w:t>
      </w:r>
      <w:r>
        <w:rPr>
          <w:rFonts w:hint="eastAsia" w:ascii="宋体" w:hAnsi="宋体" w:eastAsia="宋体" w:cs="宋体"/>
          <w:color w:val="040000"/>
          <w:kern w:val="0"/>
          <w:sz w:val="24"/>
          <w:szCs w:val="24"/>
        </w:rPr>
        <w:t>传输：线缆无破损、裸露，传输光纤检查、测试。</w:t>
      </w:r>
    </w:p>
    <w:p w14:paraId="02DE926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5</w:t>
      </w:r>
      <w:r>
        <w:rPr>
          <w:rFonts w:hint="eastAsia" w:ascii="宋体" w:hAnsi="宋体" w:eastAsia="宋体" w:cs="宋体"/>
          <w:color w:val="040000"/>
          <w:kern w:val="0"/>
          <w:sz w:val="24"/>
          <w:szCs w:val="24"/>
        </w:rPr>
        <w:t>、响应时间承诺</w:t>
      </w:r>
    </w:p>
    <w:p w14:paraId="02E1F8E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b/>
          <w:bCs/>
          <w:color w:val="040000"/>
          <w:kern w:val="0"/>
          <w:sz w:val="24"/>
          <w:szCs w:val="24"/>
          <w:lang w:val="en-US" w:eastAsia="zh-CN"/>
        </w:rPr>
      </w:pPr>
      <w:r>
        <w:rPr>
          <w:rFonts w:hint="eastAsia" w:ascii="宋体" w:hAnsi="宋体" w:eastAsia="宋体" w:cs="宋体"/>
          <w:color w:val="040000"/>
          <w:kern w:val="0"/>
          <w:sz w:val="24"/>
          <w:szCs w:val="24"/>
        </w:rPr>
        <w:t>故障处理：服务周期内，服务商实时响应系统故障自动告警，10分钟内电话响应，维修人员在2小时内到达现场，非链路与供电问题6小时内完成维修，8小时完成更换和系统恢复；在硬件方面：对于前端摄像机灰尘应于24小时内清除干净，对于损坏的设备，前端设备在8小时内完成损坏设备的更换，使系统或设备恢复正常工作；</w:t>
      </w:r>
      <w:r>
        <w:rPr>
          <w:rFonts w:hint="eastAsia" w:ascii="宋体" w:hAnsi="宋体" w:eastAsia="宋体" w:cs="宋体"/>
          <w:b/>
          <w:bCs/>
          <w:color w:val="040000"/>
          <w:kern w:val="0"/>
          <w:sz w:val="24"/>
          <w:szCs w:val="24"/>
        </w:rPr>
        <w:t>同一设备一个月内连续三次出现同一故障，无偿更换同一档次的设备</w:t>
      </w:r>
      <w:r>
        <w:rPr>
          <w:rFonts w:hint="eastAsia" w:ascii="宋体" w:hAnsi="宋体" w:cs="宋体"/>
          <w:b/>
          <w:bCs/>
          <w:color w:val="040000"/>
          <w:kern w:val="0"/>
          <w:sz w:val="24"/>
          <w:szCs w:val="24"/>
          <w:lang w:eastAsia="zh-CN"/>
        </w:rPr>
        <w:t>，</w:t>
      </w:r>
      <w:r>
        <w:rPr>
          <w:rFonts w:hint="eastAsia" w:ascii="宋体" w:hAnsi="宋体" w:eastAsia="宋体" w:cs="宋体"/>
          <w:b/>
          <w:bCs/>
          <w:color w:val="040000"/>
          <w:kern w:val="0"/>
          <w:sz w:val="24"/>
          <w:szCs w:val="24"/>
        </w:rPr>
        <w:t>相关费用由服务商承担。</w:t>
      </w:r>
      <w:bookmarkStart w:id="70" w:name="_Toc437556951"/>
      <w:bookmarkStart w:id="71" w:name="_Toc8902"/>
      <w:bookmarkStart w:id="72" w:name="_Toc417571724"/>
    </w:p>
    <w:p w14:paraId="43739EA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6</w:t>
      </w:r>
      <w:r>
        <w:rPr>
          <w:rFonts w:hint="eastAsia" w:ascii="宋体" w:hAnsi="宋体" w:eastAsia="宋体" w:cs="宋体"/>
          <w:color w:val="040000"/>
          <w:kern w:val="0"/>
          <w:sz w:val="24"/>
          <w:szCs w:val="24"/>
        </w:rPr>
        <w:t>、服务态度承诺</w:t>
      </w:r>
      <w:bookmarkEnd w:id="70"/>
      <w:bookmarkEnd w:id="71"/>
      <w:bookmarkEnd w:id="72"/>
    </w:p>
    <w:p w14:paraId="493D4D5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eastAsia="宋体" w:cs="宋体"/>
          <w:color w:val="040000"/>
          <w:kern w:val="0"/>
          <w:sz w:val="24"/>
          <w:szCs w:val="24"/>
        </w:rPr>
        <w:t>服务商完全同意和满足招标文件要求。并郑重承诺：完全保证能提供包括巡检、维护、维修、故障排除、前端摄像机除尘、系统优化、软件升级、应急服务、数据容灾在内的多项服务，以“客户为中心、客户至上”的原则，做好服务工作。</w:t>
      </w:r>
      <w:bookmarkStart w:id="73" w:name="_Toc348819544"/>
      <w:bookmarkEnd w:id="73"/>
      <w:bookmarkStart w:id="74" w:name="_Toc416297691"/>
      <w:bookmarkEnd w:id="74"/>
      <w:bookmarkStart w:id="75" w:name="_Toc437556952"/>
      <w:bookmarkStart w:id="76" w:name="_Toc417571725"/>
      <w:bookmarkStart w:id="77" w:name="_Toc23875"/>
    </w:p>
    <w:p w14:paraId="56ACB2B7">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7</w:t>
      </w:r>
      <w:r>
        <w:rPr>
          <w:rFonts w:hint="eastAsia" w:ascii="宋体" w:hAnsi="宋体" w:eastAsia="宋体" w:cs="宋体"/>
          <w:color w:val="040000"/>
          <w:kern w:val="0"/>
          <w:sz w:val="24"/>
          <w:szCs w:val="24"/>
        </w:rPr>
        <w:t>、服务能力承诺</w:t>
      </w:r>
      <w:bookmarkEnd w:id="75"/>
      <w:bookmarkEnd w:id="76"/>
      <w:bookmarkEnd w:id="77"/>
    </w:p>
    <w:p w14:paraId="4A753E23">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eastAsia="宋体" w:cs="宋体"/>
          <w:color w:val="040000"/>
          <w:kern w:val="0"/>
          <w:sz w:val="24"/>
          <w:szCs w:val="24"/>
        </w:rPr>
        <w:t>服务商需提供相关服务能力承诺。包括：具有多年的安防类项目建设经验与维护经验。具有完善的维护机构、专业能力强的维护团队、车辆充足。完全能够满足本次监控的运营维护工作。</w:t>
      </w:r>
    </w:p>
    <w:p w14:paraId="732E0A7A">
      <w:pPr>
        <w:pStyle w:val="5"/>
        <w:keepNext w:val="0"/>
        <w:keepLines w:val="0"/>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3、其它要求</w:t>
      </w:r>
    </w:p>
    <w:p w14:paraId="35A3791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3.1</w:t>
      </w:r>
      <w:r>
        <w:rPr>
          <w:rFonts w:hint="eastAsia" w:ascii="宋体" w:hAnsi="宋体" w:eastAsia="宋体" w:cs="宋体"/>
          <w:color w:val="040000"/>
          <w:kern w:val="0"/>
          <w:sz w:val="24"/>
          <w:szCs w:val="24"/>
        </w:rPr>
        <w:t>、</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在服务范围内的一切工作行为，需遵守学校制订的现行规章制度及相关部门现行规章制度。</w:t>
      </w:r>
    </w:p>
    <w:p w14:paraId="23B2DF84">
      <w:pPr>
        <w:keepNext w:val="0"/>
        <w:keepLines w:val="0"/>
        <w:pageBreakBefore w:val="0"/>
        <w:widowControl w:val="0"/>
        <w:kinsoku/>
        <w:wordWrap/>
        <w:overflowPunct/>
        <w:topLinePunct w:val="0"/>
        <w:autoSpaceDE/>
        <w:autoSpaceDN/>
        <w:bidi w:val="0"/>
        <w:adjustRightInd w:val="0"/>
        <w:snapToGrid/>
        <w:spacing w:line="405" w:lineRule="atLeast"/>
        <w:ind w:firstLine="480" w:firstLineChars="200"/>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w:t>
      </w:r>
      <w:r>
        <w:rPr>
          <w:rFonts w:hint="eastAsia" w:ascii="宋体" w:hAnsi="宋体" w:eastAsia="宋体" w:cs="宋体"/>
          <w:color w:val="040000"/>
          <w:kern w:val="0"/>
          <w:sz w:val="24"/>
          <w:szCs w:val="24"/>
          <w:lang w:val="en-US" w:eastAsia="zh-CN"/>
        </w:rPr>
        <w:t>2</w:t>
      </w:r>
      <w:r>
        <w:rPr>
          <w:rFonts w:hint="eastAsia" w:ascii="宋体" w:hAnsi="宋体" w:eastAsia="宋体" w:cs="宋体"/>
          <w:color w:val="040000"/>
          <w:kern w:val="0"/>
          <w:sz w:val="24"/>
          <w:szCs w:val="24"/>
        </w:rPr>
        <w:t>、在服务期间，若发生</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人员人为损坏设备、设施时，采购人可向</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要求适当赔偿。</w:t>
      </w:r>
    </w:p>
    <w:p w14:paraId="08D4FDAB">
      <w:pPr>
        <w:keepNext w:val="0"/>
        <w:keepLines w:val="0"/>
        <w:pageBreakBefore w:val="0"/>
        <w:widowControl w:val="0"/>
        <w:kinsoku/>
        <w:wordWrap/>
        <w:overflowPunct/>
        <w:topLinePunct w:val="0"/>
        <w:autoSpaceDE/>
        <w:autoSpaceDN/>
        <w:bidi w:val="0"/>
        <w:adjustRightInd w:val="0"/>
        <w:snapToGrid/>
        <w:spacing w:line="405" w:lineRule="atLeast"/>
        <w:ind w:firstLine="480" w:firstLineChars="200"/>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w:t>
      </w:r>
      <w:r>
        <w:rPr>
          <w:rFonts w:hint="eastAsia" w:ascii="宋体" w:hAnsi="宋体" w:eastAsia="宋体" w:cs="宋体"/>
          <w:color w:val="040000"/>
          <w:kern w:val="0"/>
          <w:sz w:val="24"/>
          <w:szCs w:val="24"/>
          <w:lang w:val="en-US" w:eastAsia="zh-CN"/>
        </w:rPr>
        <w:t>3</w:t>
      </w:r>
      <w:r>
        <w:rPr>
          <w:rFonts w:hint="eastAsia" w:ascii="宋体" w:hAnsi="宋体" w:eastAsia="宋体" w:cs="宋体"/>
          <w:color w:val="040000"/>
          <w:kern w:val="0"/>
          <w:sz w:val="24"/>
          <w:szCs w:val="24"/>
        </w:rPr>
        <w:t>、维修</w:t>
      </w:r>
      <w:r>
        <w:rPr>
          <w:rFonts w:hint="eastAsia" w:ascii="宋体" w:hAnsi="宋体" w:eastAsia="宋体" w:cs="宋体"/>
          <w:color w:val="040000"/>
          <w:kern w:val="0"/>
          <w:sz w:val="24"/>
          <w:szCs w:val="24"/>
          <w:lang w:val="en-US" w:eastAsia="zh-CN"/>
        </w:rPr>
        <w:t>和运维</w:t>
      </w:r>
      <w:r>
        <w:rPr>
          <w:rFonts w:hint="eastAsia" w:ascii="宋体" w:hAnsi="宋体" w:eastAsia="宋体" w:cs="宋体"/>
          <w:color w:val="040000"/>
          <w:kern w:val="0"/>
          <w:sz w:val="24"/>
          <w:szCs w:val="24"/>
        </w:rPr>
        <w:t>期间若需更换的配件</w:t>
      </w:r>
      <w:r>
        <w:rPr>
          <w:rFonts w:hint="eastAsia" w:ascii="宋体" w:hAnsi="宋体" w:cs="宋体"/>
          <w:color w:val="040000"/>
          <w:kern w:val="0"/>
          <w:sz w:val="24"/>
          <w:szCs w:val="24"/>
          <w:lang w:eastAsia="zh-CN"/>
        </w:rPr>
        <w:t>，</w:t>
      </w:r>
      <w:r>
        <w:rPr>
          <w:rFonts w:hint="eastAsia" w:ascii="宋体" w:hAnsi="宋体" w:eastAsia="宋体" w:cs="宋体"/>
          <w:color w:val="040000"/>
          <w:kern w:val="0"/>
          <w:sz w:val="24"/>
          <w:szCs w:val="24"/>
        </w:rPr>
        <w:t>需</w:t>
      </w:r>
      <w:r>
        <w:rPr>
          <w:rFonts w:hint="eastAsia" w:ascii="宋体" w:hAnsi="宋体" w:eastAsia="宋体" w:cs="宋体"/>
          <w:color w:val="040000"/>
          <w:kern w:val="0"/>
          <w:sz w:val="24"/>
          <w:szCs w:val="24"/>
          <w:lang w:val="en-US" w:eastAsia="zh-CN"/>
        </w:rPr>
        <w:t>采购人</w:t>
      </w:r>
      <w:r>
        <w:rPr>
          <w:rFonts w:hint="eastAsia" w:ascii="宋体" w:hAnsi="宋体" w:eastAsia="宋体" w:cs="宋体"/>
          <w:color w:val="040000"/>
          <w:kern w:val="0"/>
          <w:sz w:val="24"/>
          <w:szCs w:val="24"/>
        </w:rPr>
        <w:t>验收后方可安装调试。</w:t>
      </w:r>
    </w:p>
    <w:p w14:paraId="29FCB90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eastAsia="宋体" w:cs="宋体"/>
          <w:color w:val="040000"/>
          <w:kern w:val="0"/>
          <w:sz w:val="24"/>
          <w:szCs w:val="24"/>
          <w:lang w:val="en-US" w:eastAsia="zh-CN"/>
        </w:rPr>
        <w:t>3.4</w:t>
      </w:r>
      <w:r>
        <w:rPr>
          <w:rFonts w:hint="eastAsia" w:ascii="宋体" w:hAnsi="宋体" w:eastAsia="宋体" w:cs="宋体"/>
          <w:color w:val="040000"/>
          <w:kern w:val="0"/>
          <w:sz w:val="24"/>
          <w:szCs w:val="24"/>
        </w:rPr>
        <w:t>、</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填报</w:t>
      </w:r>
      <w:r>
        <w:rPr>
          <w:rFonts w:hint="eastAsia" w:ascii="宋体" w:hAnsi="宋体" w:eastAsia="宋体" w:cs="宋体"/>
          <w:color w:val="040000"/>
          <w:kern w:val="0"/>
          <w:sz w:val="24"/>
          <w:szCs w:val="24"/>
          <w:lang w:val="en-US" w:eastAsia="zh-CN"/>
        </w:rPr>
        <w:t>的</w:t>
      </w:r>
      <w:r>
        <w:rPr>
          <w:rFonts w:hint="eastAsia" w:ascii="宋体" w:hAnsi="宋体" w:eastAsia="宋体" w:cs="宋体"/>
          <w:color w:val="040000"/>
          <w:kern w:val="0"/>
          <w:sz w:val="24"/>
          <w:szCs w:val="24"/>
        </w:rPr>
        <w:t>报价表，价格含人工安装服务费、税收等其他费用。</w:t>
      </w:r>
    </w:p>
    <w:p w14:paraId="3E908DA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3.5、监控维保是针对校园所有的监控进行维保，在维保服务期内，若有监控调整位置，服务商必须按照采购人的要求及时调整。</w:t>
      </w:r>
    </w:p>
    <w:p w14:paraId="394D1A1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default"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3.6、维修费用不得高于总价的60%，维保费用不得低于总价的40% 。</w:t>
      </w:r>
    </w:p>
    <w:p w14:paraId="1009F58C">
      <w:pPr>
        <w:pStyle w:val="2"/>
        <w:spacing w:before="0" w:beforeAutospacing="0" w:after="0" w:afterAutospacing="0" w:line="240" w:lineRule="auto"/>
        <w:ind w:left="435" w:leftChars="207" w:firstLine="72" w:firstLineChars="30"/>
        <w:rPr>
          <w:rFonts w:hint="default" w:ascii="Times New Roman" w:hAnsi="Times New Roman" w:eastAsia="宋体" w:cs="Times New Roman"/>
          <w:sz w:val="24"/>
          <w:szCs w:val="24"/>
          <w:lang w:val="en-US" w:eastAsia="zh-CN" w:bidi="ar-SA"/>
        </w:rPr>
      </w:pPr>
    </w:p>
    <w:p w14:paraId="3332AC6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247FE5F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7070D3F3">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39B8187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6A90EF10">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44F013EE">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2C8C4DDE">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3D1AC325">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15B588B4">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125A178E">
      <w:pPr>
        <w:rPr>
          <w:rFonts w:hint="eastAsia" w:ascii="Arial" w:hAnsi="Arial"/>
          <w:color w:val="auto"/>
          <w:kern w:val="2"/>
          <w:sz w:val="32"/>
          <w:szCs w:val="32"/>
          <w:highlight w:val="none"/>
          <w:lang w:val="en-US" w:eastAsia="zh-CN"/>
        </w:rPr>
      </w:pPr>
    </w:p>
    <w:p w14:paraId="49A3D88E">
      <w:pPr>
        <w:pStyle w:val="2"/>
        <w:rPr>
          <w:rFonts w:hint="eastAsia" w:ascii="Arial" w:hAnsi="Arial"/>
          <w:color w:val="auto"/>
          <w:kern w:val="2"/>
          <w:sz w:val="32"/>
          <w:szCs w:val="32"/>
          <w:highlight w:val="none"/>
          <w:lang w:val="en-US" w:eastAsia="zh-CN"/>
        </w:rPr>
      </w:pPr>
    </w:p>
    <w:p w14:paraId="38DFC972">
      <w:pPr>
        <w:pStyle w:val="2"/>
        <w:rPr>
          <w:rFonts w:hint="eastAsia" w:ascii="Arial" w:hAnsi="Arial"/>
          <w:color w:val="auto"/>
          <w:kern w:val="2"/>
          <w:sz w:val="32"/>
          <w:szCs w:val="32"/>
          <w:highlight w:val="none"/>
          <w:lang w:val="en-US" w:eastAsia="zh-CN"/>
        </w:rPr>
      </w:pPr>
    </w:p>
    <w:p w14:paraId="527FA28D">
      <w:pPr>
        <w:pStyle w:val="2"/>
        <w:rPr>
          <w:rFonts w:hint="eastAsia" w:ascii="Arial" w:hAnsi="Arial"/>
          <w:color w:val="auto"/>
          <w:kern w:val="2"/>
          <w:sz w:val="32"/>
          <w:szCs w:val="32"/>
          <w:highlight w:val="none"/>
          <w:lang w:val="en-US" w:eastAsia="zh-CN"/>
        </w:rPr>
      </w:pPr>
    </w:p>
    <w:p w14:paraId="38F81A3C">
      <w:pPr>
        <w:pStyle w:val="2"/>
        <w:rPr>
          <w:rFonts w:hint="eastAsia" w:ascii="Arial" w:hAnsi="Arial"/>
          <w:color w:val="auto"/>
          <w:kern w:val="2"/>
          <w:sz w:val="32"/>
          <w:szCs w:val="32"/>
          <w:highlight w:val="none"/>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8" w:name="_Toc27586"/>
      <w:bookmarkStart w:id="79" w:name="_Toc3977"/>
      <w:bookmarkStart w:id="80" w:name="_Toc28300"/>
      <w:bookmarkStart w:id="81" w:name="_Toc7241"/>
      <w:bookmarkStart w:id="82" w:name="_Toc431"/>
      <w:bookmarkStart w:id="83" w:name="_Toc54941340"/>
      <w:bookmarkStart w:id="84" w:name="_Toc10569"/>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1DB642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8"/>
      <w:bookmarkEnd w:id="79"/>
      <w:bookmarkEnd w:id="80"/>
      <w:bookmarkEnd w:id="81"/>
      <w:bookmarkEnd w:id="82"/>
      <w:r>
        <w:rPr>
          <w:rFonts w:hint="eastAsia" w:ascii="宋体" w:hAnsi="宋体" w:cs="宋体"/>
          <w:b w:val="0"/>
          <w:bCs/>
          <w:color w:val="auto"/>
          <w:szCs w:val="21"/>
          <w:highlight w:val="none"/>
          <w:lang w:val="en-US" w:eastAsia="zh-CN"/>
        </w:rPr>
        <w:t>。</w:t>
      </w:r>
    </w:p>
    <w:bookmarkEnd w:id="83"/>
    <w:bookmarkEnd w:id="84"/>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5"/>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2"/>
        <w:rPr>
          <w:rFonts w:hint="eastAsia"/>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5" w:name="_Toc3029"/>
      <w:bookmarkStart w:id="86" w:name="_Toc24059"/>
      <w:bookmarkStart w:id="87"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5"/>
      <w:bookmarkEnd w:id="86"/>
      <w:bookmarkEnd w:id="87"/>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88" w:name="_Toc21295"/>
      <w:bookmarkStart w:id="89" w:name="_Toc24300"/>
      <w:bookmarkStart w:id="90" w:name="_Toc27126"/>
      <w:bookmarkStart w:id="91" w:name="_Toc21551"/>
      <w:bookmarkStart w:id="92" w:name="_Toc23292"/>
      <w:bookmarkStart w:id="93" w:name="_Toc2163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8"/>
      <w:bookmarkEnd w:id="89"/>
      <w:bookmarkEnd w:id="90"/>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91"/>
      <w:bookmarkEnd w:id="92"/>
      <w:bookmarkEnd w:id="93"/>
    </w:p>
    <w:p w14:paraId="6B6E04A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8DE8606">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2E0746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8AB639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C6FEF9E">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bl>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4" w:name="_Toc1814"/>
      <w:bookmarkStart w:id="95" w:name="_Toc10340"/>
      <w:bookmarkStart w:id="96"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4"/>
      <w:bookmarkEnd w:id="95"/>
      <w:bookmarkEnd w:id="96"/>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7" w:name="_Toc32071"/>
      <w:bookmarkStart w:id="98" w:name="_Toc19304"/>
      <w:bookmarkStart w:id="99"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7"/>
      <w:bookmarkEnd w:id="98"/>
      <w:bookmarkEnd w:id="99"/>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100" w:name="_Toc19554"/>
      <w:bookmarkStart w:id="101" w:name="_Toc21423"/>
      <w:bookmarkStart w:id="102" w:name="_Toc27250"/>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100"/>
      <w:bookmarkEnd w:id="101"/>
      <w:bookmarkEnd w:id="102"/>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3" w:name="_Toc16021"/>
      <w:bookmarkStart w:id="104" w:name="_Toc15583"/>
      <w:bookmarkStart w:id="105"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3"/>
      <w:bookmarkEnd w:id="104"/>
      <w:bookmarkEnd w:id="105"/>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6" w:name="_Toc15322"/>
      <w:bookmarkStart w:id="107" w:name="_Toc11173"/>
      <w:bookmarkStart w:id="108"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6"/>
      <w:bookmarkEnd w:id="107"/>
      <w:bookmarkEnd w:id="108"/>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9" w:name="_Toc54941341"/>
      <w:bookmarkStart w:id="110" w:name="_Toc439316880"/>
      <w:bookmarkStart w:id="111" w:name="_Toc8981"/>
      <w:bookmarkStart w:id="112"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13" w:name="_Toc417656001"/>
      <w:r>
        <w:rPr>
          <w:rFonts w:hint="eastAsia" w:ascii="Arial" w:hAnsi="Arial"/>
          <w:color w:val="auto"/>
          <w:kern w:val="2"/>
          <w:sz w:val="36"/>
          <w:szCs w:val="36"/>
          <w:highlight w:val="none"/>
        </w:rPr>
        <w:t>响应文件格式</w:t>
      </w:r>
      <w:bookmarkEnd w:id="109"/>
      <w:bookmarkEnd w:id="110"/>
      <w:bookmarkEnd w:id="111"/>
      <w:bookmarkEnd w:id="112"/>
      <w:bookmarkEnd w:id="113"/>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bookmarkStart w:id="136" w:name="_GoBack"/>
      <w:bookmarkEnd w:id="136"/>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2"/>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2"/>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2"/>
        <w:rPr>
          <w:rFonts w:ascii="宋体" w:hAnsi="宋体" w:cs="宋体"/>
          <w:color w:val="auto"/>
          <w:sz w:val="24"/>
          <w:highlight w:val="none"/>
        </w:rPr>
      </w:pPr>
    </w:p>
    <w:p w14:paraId="18BCD6FA">
      <w:pPr>
        <w:pStyle w:val="2"/>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5"/>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4" w:name="_Hlk44287576"/>
      <w:r>
        <w:rPr>
          <w:rFonts w:hint="eastAsia" w:ascii="宋体" w:hAnsi="宋体" w:eastAsia="宋体"/>
          <w:color w:val="auto"/>
          <w:sz w:val="24"/>
          <w:highlight w:val="none"/>
        </w:rPr>
        <w:t>竞争性谈判公告</w:t>
      </w:r>
      <w:bookmarkEnd w:id="114"/>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2"/>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3"/>
        <w:tabs>
          <w:tab w:val="left" w:pos="5580"/>
        </w:tabs>
        <w:spacing w:line="480" w:lineRule="auto"/>
        <w:ind w:firstLine="3570" w:firstLineChars="1700"/>
        <w:rPr>
          <w:rFonts w:hint="eastAsia" w:hAnsi="宋体" w:cs="宋体"/>
          <w:color w:val="auto"/>
          <w:highlight w:val="none"/>
        </w:rPr>
      </w:pPr>
    </w:p>
    <w:p w14:paraId="5B76CB0B">
      <w:pPr>
        <w:pStyle w:val="23"/>
        <w:tabs>
          <w:tab w:val="left" w:pos="5580"/>
        </w:tabs>
        <w:spacing w:line="480" w:lineRule="auto"/>
        <w:rPr>
          <w:rFonts w:hint="eastAsia" w:hAnsi="宋体" w:cs="宋体"/>
          <w:color w:val="auto"/>
          <w:highlight w:val="none"/>
        </w:rPr>
      </w:pPr>
    </w:p>
    <w:p w14:paraId="6ED911BB">
      <w:pPr>
        <w:pStyle w:val="23"/>
        <w:tabs>
          <w:tab w:val="left" w:pos="5580"/>
        </w:tabs>
        <w:spacing w:line="480" w:lineRule="auto"/>
        <w:rPr>
          <w:rFonts w:hint="eastAsia" w:hAnsi="宋体" w:cs="宋体"/>
          <w:color w:val="auto"/>
          <w:highlight w:val="none"/>
        </w:rPr>
      </w:pPr>
    </w:p>
    <w:p w14:paraId="0FB3E3E0">
      <w:pPr>
        <w:pStyle w:val="5"/>
        <w:numPr>
          <w:ilvl w:val="0"/>
          <w:numId w:val="0"/>
        </w:numPr>
        <w:tabs>
          <w:tab w:val="left" w:pos="2730"/>
        </w:tabs>
        <w:jc w:val="center"/>
        <w:rPr>
          <w:rFonts w:cs="宋体"/>
          <w:color w:val="auto"/>
          <w:sz w:val="28"/>
          <w:szCs w:val="28"/>
          <w:highlight w:val="none"/>
        </w:rPr>
      </w:pPr>
      <w:bookmarkStart w:id="115" w:name="_Toc476584434"/>
      <w:bookmarkStart w:id="116" w:name="_Toc54941343"/>
      <w:bookmarkStart w:id="117" w:name="_Toc28034"/>
      <w:bookmarkStart w:id="118" w:name="_Toc32647"/>
      <w:bookmarkStart w:id="119" w:name="_Toc28153"/>
      <w:bookmarkStart w:id="12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5"/>
      <w:bookmarkEnd w:id="116"/>
      <w:bookmarkEnd w:id="117"/>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5"/>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2"/>
        <w:rPr>
          <w:rFonts w:hint="eastAsia" w:hAnsi="宋体" w:cs="宋体"/>
          <w:color w:val="auto"/>
          <w:sz w:val="28"/>
          <w:szCs w:val="28"/>
          <w:highlight w:val="none"/>
          <w:lang w:val="en-US" w:eastAsia="zh-CN"/>
        </w:rPr>
      </w:pPr>
    </w:p>
    <w:p w14:paraId="0A198B91">
      <w:pPr>
        <w:pStyle w:val="5"/>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8"/>
    <w:bookmarkEnd w:id="119"/>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40"/>
        <w:tblW w:w="10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490"/>
        <w:gridCol w:w="2286"/>
        <w:gridCol w:w="795"/>
        <w:gridCol w:w="843"/>
        <w:gridCol w:w="1035"/>
        <w:gridCol w:w="1132"/>
        <w:gridCol w:w="1228"/>
      </w:tblGrid>
      <w:tr w14:paraId="36DF0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8424CB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2490" w:type="dxa"/>
            <w:vAlign w:val="center"/>
          </w:tcPr>
          <w:p w14:paraId="03264CA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名称</w:t>
            </w:r>
          </w:p>
        </w:tc>
        <w:tc>
          <w:tcPr>
            <w:tcW w:w="2286" w:type="dxa"/>
            <w:vAlign w:val="center"/>
          </w:tcPr>
          <w:p w14:paraId="55B32F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7C7DC5E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843" w:type="dxa"/>
            <w:vAlign w:val="center"/>
          </w:tcPr>
          <w:p w14:paraId="2937574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035" w:type="dxa"/>
            <w:vAlign w:val="center"/>
          </w:tcPr>
          <w:p w14:paraId="77A47E6C">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单价</w:t>
            </w:r>
          </w:p>
          <w:p w14:paraId="56C40C7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（元）</w:t>
            </w:r>
          </w:p>
        </w:tc>
        <w:tc>
          <w:tcPr>
            <w:tcW w:w="1132" w:type="dxa"/>
            <w:vAlign w:val="center"/>
          </w:tcPr>
          <w:p w14:paraId="647D82B2">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总</w:t>
            </w:r>
            <w:r>
              <w:rPr>
                <w:rFonts w:hint="eastAsia" w:ascii="宋体" w:hAnsi="宋体" w:cs="宋体"/>
                <w:color w:val="auto"/>
                <w:szCs w:val="21"/>
                <w:highlight w:val="none"/>
              </w:rPr>
              <w:t>价</w:t>
            </w:r>
          </w:p>
          <w:p w14:paraId="1A162EC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（元）</w:t>
            </w:r>
          </w:p>
        </w:tc>
        <w:tc>
          <w:tcPr>
            <w:tcW w:w="1228" w:type="dxa"/>
            <w:vAlign w:val="center"/>
          </w:tcPr>
          <w:p w14:paraId="17BE4903">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w:t>
            </w:r>
          </w:p>
        </w:tc>
      </w:tr>
      <w:tr w14:paraId="4897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6DF544E">
            <w:pPr>
              <w:spacing w:line="360" w:lineRule="auto"/>
              <w:jc w:val="center"/>
              <w:rPr>
                <w:rFonts w:hint="eastAsia" w:ascii="宋体" w:hAnsi="宋体" w:cs="宋体"/>
                <w:color w:val="auto"/>
                <w:szCs w:val="21"/>
                <w:highlight w:val="none"/>
              </w:rPr>
            </w:pPr>
          </w:p>
        </w:tc>
        <w:tc>
          <w:tcPr>
            <w:tcW w:w="2490" w:type="dxa"/>
            <w:vAlign w:val="center"/>
          </w:tcPr>
          <w:p w14:paraId="751006DD">
            <w:pPr>
              <w:spacing w:line="360" w:lineRule="auto"/>
              <w:jc w:val="center"/>
              <w:rPr>
                <w:rFonts w:hint="eastAsia" w:ascii="宋体" w:hAnsi="宋体" w:cs="宋体"/>
                <w:color w:val="auto"/>
                <w:szCs w:val="21"/>
                <w:highlight w:val="none"/>
              </w:rPr>
            </w:pPr>
          </w:p>
        </w:tc>
        <w:tc>
          <w:tcPr>
            <w:tcW w:w="2286" w:type="dxa"/>
            <w:vAlign w:val="center"/>
          </w:tcPr>
          <w:p w14:paraId="04E45194">
            <w:pPr>
              <w:spacing w:line="360" w:lineRule="auto"/>
              <w:jc w:val="center"/>
              <w:rPr>
                <w:rFonts w:hint="eastAsia" w:ascii="宋体" w:hAnsi="宋体" w:cs="宋体"/>
                <w:color w:val="auto"/>
                <w:szCs w:val="21"/>
                <w:highlight w:val="none"/>
              </w:rPr>
            </w:pPr>
          </w:p>
        </w:tc>
        <w:tc>
          <w:tcPr>
            <w:tcW w:w="795" w:type="dxa"/>
            <w:vAlign w:val="center"/>
          </w:tcPr>
          <w:p w14:paraId="3569876B">
            <w:pPr>
              <w:spacing w:line="360" w:lineRule="auto"/>
              <w:jc w:val="center"/>
              <w:rPr>
                <w:rFonts w:hint="eastAsia" w:ascii="宋体" w:hAnsi="宋体" w:cs="宋体"/>
                <w:color w:val="auto"/>
                <w:szCs w:val="21"/>
                <w:highlight w:val="none"/>
              </w:rPr>
            </w:pPr>
          </w:p>
        </w:tc>
        <w:tc>
          <w:tcPr>
            <w:tcW w:w="843" w:type="dxa"/>
            <w:vAlign w:val="center"/>
          </w:tcPr>
          <w:p w14:paraId="2117204A">
            <w:pPr>
              <w:spacing w:line="360" w:lineRule="auto"/>
              <w:jc w:val="center"/>
              <w:rPr>
                <w:rFonts w:hint="eastAsia" w:ascii="宋体" w:hAnsi="宋体" w:cs="宋体"/>
                <w:color w:val="auto"/>
                <w:szCs w:val="21"/>
                <w:highlight w:val="none"/>
              </w:rPr>
            </w:pPr>
          </w:p>
        </w:tc>
        <w:tc>
          <w:tcPr>
            <w:tcW w:w="1035" w:type="dxa"/>
            <w:vAlign w:val="center"/>
          </w:tcPr>
          <w:p w14:paraId="1E46C26C">
            <w:pPr>
              <w:spacing w:line="360" w:lineRule="auto"/>
              <w:jc w:val="center"/>
              <w:rPr>
                <w:rFonts w:hint="eastAsia" w:ascii="宋体" w:hAnsi="宋体" w:cs="宋体"/>
                <w:color w:val="auto"/>
                <w:szCs w:val="21"/>
                <w:highlight w:val="none"/>
              </w:rPr>
            </w:pPr>
          </w:p>
        </w:tc>
        <w:tc>
          <w:tcPr>
            <w:tcW w:w="1132" w:type="dxa"/>
            <w:vAlign w:val="center"/>
          </w:tcPr>
          <w:p w14:paraId="16252E04">
            <w:pPr>
              <w:spacing w:line="360" w:lineRule="auto"/>
              <w:jc w:val="center"/>
              <w:rPr>
                <w:rFonts w:hint="eastAsia" w:ascii="宋体" w:hAnsi="宋体" w:cs="宋体"/>
                <w:color w:val="auto"/>
                <w:szCs w:val="21"/>
                <w:highlight w:val="none"/>
              </w:rPr>
            </w:pPr>
          </w:p>
        </w:tc>
        <w:tc>
          <w:tcPr>
            <w:tcW w:w="1228" w:type="dxa"/>
            <w:vAlign w:val="center"/>
          </w:tcPr>
          <w:p w14:paraId="0DF23E28">
            <w:pPr>
              <w:spacing w:line="360" w:lineRule="auto"/>
              <w:jc w:val="center"/>
              <w:rPr>
                <w:rFonts w:hint="eastAsia" w:ascii="宋体" w:hAnsi="宋体" w:cs="宋体"/>
                <w:color w:val="auto"/>
                <w:szCs w:val="21"/>
                <w:highlight w:val="none"/>
                <w:lang w:val="en-US" w:eastAsia="zh-CN"/>
              </w:rPr>
            </w:pPr>
          </w:p>
        </w:tc>
      </w:tr>
      <w:tr w14:paraId="0D14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6441F4D6">
            <w:pPr>
              <w:spacing w:line="360" w:lineRule="auto"/>
              <w:jc w:val="center"/>
              <w:rPr>
                <w:rFonts w:hint="eastAsia" w:ascii="宋体" w:hAnsi="宋体" w:cs="宋体"/>
                <w:color w:val="auto"/>
                <w:szCs w:val="21"/>
                <w:highlight w:val="none"/>
              </w:rPr>
            </w:pPr>
          </w:p>
        </w:tc>
        <w:tc>
          <w:tcPr>
            <w:tcW w:w="2490" w:type="dxa"/>
            <w:vAlign w:val="center"/>
          </w:tcPr>
          <w:p w14:paraId="2CD48076">
            <w:pPr>
              <w:spacing w:line="360" w:lineRule="auto"/>
              <w:jc w:val="center"/>
              <w:rPr>
                <w:rFonts w:hint="eastAsia" w:ascii="宋体" w:hAnsi="宋体" w:cs="宋体"/>
                <w:color w:val="auto"/>
                <w:szCs w:val="21"/>
                <w:highlight w:val="none"/>
              </w:rPr>
            </w:pPr>
          </w:p>
        </w:tc>
        <w:tc>
          <w:tcPr>
            <w:tcW w:w="2286" w:type="dxa"/>
            <w:vAlign w:val="center"/>
          </w:tcPr>
          <w:p w14:paraId="284B1722">
            <w:pPr>
              <w:spacing w:line="360" w:lineRule="auto"/>
              <w:jc w:val="center"/>
              <w:rPr>
                <w:rFonts w:hint="eastAsia" w:ascii="宋体" w:hAnsi="宋体" w:cs="宋体"/>
                <w:color w:val="auto"/>
                <w:szCs w:val="21"/>
                <w:highlight w:val="none"/>
              </w:rPr>
            </w:pPr>
          </w:p>
        </w:tc>
        <w:tc>
          <w:tcPr>
            <w:tcW w:w="795" w:type="dxa"/>
            <w:vAlign w:val="center"/>
          </w:tcPr>
          <w:p w14:paraId="1B291AA1">
            <w:pPr>
              <w:spacing w:line="360" w:lineRule="auto"/>
              <w:jc w:val="center"/>
              <w:rPr>
                <w:rFonts w:hint="eastAsia" w:ascii="宋体" w:hAnsi="宋体" w:cs="宋体"/>
                <w:color w:val="auto"/>
                <w:szCs w:val="21"/>
                <w:highlight w:val="none"/>
              </w:rPr>
            </w:pPr>
          </w:p>
        </w:tc>
        <w:tc>
          <w:tcPr>
            <w:tcW w:w="843" w:type="dxa"/>
            <w:vAlign w:val="center"/>
          </w:tcPr>
          <w:p w14:paraId="6ACD5584">
            <w:pPr>
              <w:spacing w:line="360" w:lineRule="auto"/>
              <w:jc w:val="center"/>
              <w:rPr>
                <w:rFonts w:hint="eastAsia" w:ascii="宋体" w:hAnsi="宋体" w:cs="宋体"/>
                <w:color w:val="auto"/>
                <w:szCs w:val="21"/>
                <w:highlight w:val="none"/>
              </w:rPr>
            </w:pPr>
          </w:p>
        </w:tc>
        <w:tc>
          <w:tcPr>
            <w:tcW w:w="1035" w:type="dxa"/>
            <w:vAlign w:val="center"/>
          </w:tcPr>
          <w:p w14:paraId="3B811524">
            <w:pPr>
              <w:spacing w:line="360" w:lineRule="auto"/>
              <w:jc w:val="center"/>
              <w:rPr>
                <w:rFonts w:hint="eastAsia" w:ascii="宋体" w:hAnsi="宋体" w:cs="宋体"/>
                <w:color w:val="auto"/>
                <w:szCs w:val="21"/>
                <w:highlight w:val="none"/>
              </w:rPr>
            </w:pPr>
          </w:p>
        </w:tc>
        <w:tc>
          <w:tcPr>
            <w:tcW w:w="1132" w:type="dxa"/>
            <w:vAlign w:val="center"/>
          </w:tcPr>
          <w:p w14:paraId="7BDB9746">
            <w:pPr>
              <w:spacing w:line="360" w:lineRule="auto"/>
              <w:jc w:val="center"/>
              <w:rPr>
                <w:rFonts w:hint="eastAsia" w:ascii="宋体" w:hAnsi="宋体" w:cs="宋体"/>
                <w:color w:val="auto"/>
                <w:szCs w:val="21"/>
                <w:highlight w:val="none"/>
              </w:rPr>
            </w:pPr>
          </w:p>
        </w:tc>
        <w:tc>
          <w:tcPr>
            <w:tcW w:w="1228" w:type="dxa"/>
            <w:vAlign w:val="center"/>
          </w:tcPr>
          <w:p w14:paraId="7A44FE8C">
            <w:pPr>
              <w:spacing w:line="360" w:lineRule="auto"/>
              <w:jc w:val="center"/>
              <w:rPr>
                <w:rFonts w:hint="eastAsia" w:ascii="宋体" w:hAnsi="宋体" w:cs="宋体"/>
                <w:color w:val="auto"/>
                <w:szCs w:val="21"/>
                <w:highlight w:val="none"/>
                <w:lang w:val="en-US" w:eastAsia="zh-CN"/>
              </w:rPr>
            </w:pPr>
          </w:p>
        </w:tc>
      </w:tr>
      <w:tr w14:paraId="4B718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26F031ED">
            <w:pPr>
              <w:spacing w:line="360" w:lineRule="auto"/>
              <w:jc w:val="center"/>
              <w:rPr>
                <w:rFonts w:hint="eastAsia" w:ascii="宋体" w:hAnsi="宋体" w:cs="宋体"/>
                <w:color w:val="auto"/>
                <w:szCs w:val="21"/>
                <w:highlight w:val="none"/>
              </w:rPr>
            </w:pPr>
          </w:p>
        </w:tc>
        <w:tc>
          <w:tcPr>
            <w:tcW w:w="2490" w:type="dxa"/>
            <w:vAlign w:val="center"/>
          </w:tcPr>
          <w:p w14:paraId="7C1F7073">
            <w:pPr>
              <w:spacing w:line="360" w:lineRule="auto"/>
              <w:jc w:val="center"/>
              <w:rPr>
                <w:rFonts w:hint="eastAsia" w:ascii="宋体" w:hAnsi="宋体" w:cs="宋体"/>
                <w:color w:val="auto"/>
                <w:szCs w:val="21"/>
                <w:highlight w:val="none"/>
              </w:rPr>
            </w:pPr>
          </w:p>
        </w:tc>
        <w:tc>
          <w:tcPr>
            <w:tcW w:w="2286" w:type="dxa"/>
            <w:vAlign w:val="center"/>
          </w:tcPr>
          <w:p w14:paraId="4B9B2019">
            <w:pPr>
              <w:spacing w:line="360" w:lineRule="auto"/>
              <w:jc w:val="center"/>
              <w:rPr>
                <w:rFonts w:hint="eastAsia" w:ascii="宋体" w:hAnsi="宋体" w:cs="宋体"/>
                <w:color w:val="auto"/>
                <w:szCs w:val="21"/>
                <w:highlight w:val="none"/>
              </w:rPr>
            </w:pPr>
          </w:p>
        </w:tc>
        <w:tc>
          <w:tcPr>
            <w:tcW w:w="795" w:type="dxa"/>
            <w:vAlign w:val="center"/>
          </w:tcPr>
          <w:p w14:paraId="173B60B2">
            <w:pPr>
              <w:spacing w:line="360" w:lineRule="auto"/>
              <w:jc w:val="center"/>
              <w:rPr>
                <w:rFonts w:hint="eastAsia" w:ascii="宋体" w:hAnsi="宋体" w:cs="宋体"/>
                <w:color w:val="auto"/>
                <w:szCs w:val="21"/>
                <w:highlight w:val="none"/>
              </w:rPr>
            </w:pPr>
          </w:p>
        </w:tc>
        <w:tc>
          <w:tcPr>
            <w:tcW w:w="843" w:type="dxa"/>
            <w:vAlign w:val="center"/>
          </w:tcPr>
          <w:p w14:paraId="711357FF">
            <w:pPr>
              <w:spacing w:line="360" w:lineRule="auto"/>
              <w:jc w:val="center"/>
              <w:rPr>
                <w:rFonts w:hint="eastAsia" w:ascii="宋体" w:hAnsi="宋体" w:cs="宋体"/>
                <w:color w:val="auto"/>
                <w:szCs w:val="21"/>
                <w:highlight w:val="none"/>
              </w:rPr>
            </w:pPr>
          </w:p>
        </w:tc>
        <w:tc>
          <w:tcPr>
            <w:tcW w:w="1035" w:type="dxa"/>
            <w:vAlign w:val="center"/>
          </w:tcPr>
          <w:p w14:paraId="04634AF5">
            <w:pPr>
              <w:spacing w:line="360" w:lineRule="auto"/>
              <w:jc w:val="center"/>
              <w:rPr>
                <w:rFonts w:hint="eastAsia" w:ascii="宋体" w:hAnsi="宋体" w:cs="宋体"/>
                <w:color w:val="auto"/>
                <w:szCs w:val="21"/>
                <w:highlight w:val="none"/>
              </w:rPr>
            </w:pPr>
          </w:p>
        </w:tc>
        <w:tc>
          <w:tcPr>
            <w:tcW w:w="1132" w:type="dxa"/>
            <w:vAlign w:val="center"/>
          </w:tcPr>
          <w:p w14:paraId="1A7F34D9">
            <w:pPr>
              <w:spacing w:line="360" w:lineRule="auto"/>
              <w:jc w:val="center"/>
              <w:rPr>
                <w:rFonts w:hint="eastAsia" w:ascii="宋体" w:hAnsi="宋体" w:cs="宋体"/>
                <w:color w:val="auto"/>
                <w:szCs w:val="21"/>
                <w:highlight w:val="none"/>
              </w:rPr>
            </w:pPr>
          </w:p>
        </w:tc>
        <w:tc>
          <w:tcPr>
            <w:tcW w:w="1228" w:type="dxa"/>
            <w:vAlign w:val="center"/>
          </w:tcPr>
          <w:p w14:paraId="092ED3A6">
            <w:pPr>
              <w:spacing w:line="360" w:lineRule="auto"/>
              <w:jc w:val="center"/>
              <w:rPr>
                <w:rFonts w:hint="eastAsia" w:ascii="宋体" w:hAnsi="宋体" w:cs="宋体"/>
                <w:color w:val="auto"/>
                <w:szCs w:val="21"/>
                <w:highlight w:val="none"/>
                <w:lang w:val="en-US" w:eastAsia="zh-CN"/>
              </w:rPr>
            </w:pPr>
          </w:p>
        </w:tc>
      </w:tr>
      <w:tr w14:paraId="1772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7B774213">
            <w:pPr>
              <w:spacing w:line="360" w:lineRule="auto"/>
              <w:jc w:val="center"/>
              <w:rPr>
                <w:rFonts w:hint="eastAsia" w:ascii="宋体" w:hAnsi="宋体" w:cs="宋体"/>
                <w:color w:val="auto"/>
                <w:szCs w:val="21"/>
                <w:highlight w:val="none"/>
              </w:rPr>
            </w:pPr>
          </w:p>
        </w:tc>
        <w:tc>
          <w:tcPr>
            <w:tcW w:w="2490" w:type="dxa"/>
            <w:vAlign w:val="center"/>
          </w:tcPr>
          <w:p w14:paraId="1905ED8C">
            <w:pPr>
              <w:spacing w:line="360" w:lineRule="auto"/>
              <w:jc w:val="center"/>
              <w:rPr>
                <w:rFonts w:hint="eastAsia" w:ascii="宋体" w:hAnsi="宋体" w:cs="宋体"/>
                <w:color w:val="auto"/>
                <w:szCs w:val="21"/>
                <w:highlight w:val="none"/>
              </w:rPr>
            </w:pPr>
          </w:p>
        </w:tc>
        <w:tc>
          <w:tcPr>
            <w:tcW w:w="2286" w:type="dxa"/>
            <w:vAlign w:val="center"/>
          </w:tcPr>
          <w:p w14:paraId="6B42EF64">
            <w:pPr>
              <w:spacing w:line="360" w:lineRule="auto"/>
              <w:jc w:val="center"/>
              <w:rPr>
                <w:rFonts w:hint="eastAsia" w:ascii="宋体" w:hAnsi="宋体" w:cs="宋体"/>
                <w:color w:val="auto"/>
                <w:szCs w:val="21"/>
                <w:highlight w:val="none"/>
              </w:rPr>
            </w:pPr>
          </w:p>
        </w:tc>
        <w:tc>
          <w:tcPr>
            <w:tcW w:w="795" w:type="dxa"/>
            <w:vAlign w:val="center"/>
          </w:tcPr>
          <w:p w14:paraId="51928243">
            <w:pPr>
              <w:spacing w:line="360" w:lineRule="auto"/>
              <w:jc w:val="center"/>
              <w:rPr>
                <w:rFonts w:hint="eastAsia" w:ascii="宋体" w:hAnsi="宋体" w:cs="宋体"/>
                <w:color w:val="auto"/>
                <w:szCs w:val="21"/>
                <w:highlight w:val="none"/>
              </w:rPr>
            </w:pPr>
          </w:p>
        </w:tc>
        <w:tc>
          <w:tcPr>
            <w:tcW w:w="843" w:type="dxa"/>
            <w:vAlign w:val="center"/>
          </w:tcPr>
          <w:p w14:paraId="5DCBB98B">
            <w:pPr>
              <w:spacing w:line="360" w:lineRule="auto"/>
              <w:jc w:val="center"/>
              <w:rPr>
                <w:rFonts w:hint="eastAsia" w:ascii="宋体" w:hAnsi="宋体" w:cs="宋体"/>
                <w:color w:val="auto"/>
                <w:szCs w:val="21"/>
                <w:highlight w:val="none"/>
              </w:rPr>
            </w:pPr>
          </w:p>
        </w:tc>
        <w:tc>
          <w:tcPr>
            <w:tcW w:w="1035" w:type="dxa"/>
            <w:vAlign w:val="center"/>
          </w:tcPr>
          <w:p w14:paraId="341F8B06">
            <w:pPr>
              <w:spacing w:line="360" w:lineRule="auto"/>
              <w:jc w:val="center"/>
              <w:rPr>
                <w:rFonts w:hint="eastAsia" w:ascii="宋体" w:hAnsi="宋体" w:cs="宋体"/>
                <w:color w:val="auto"/>
                <w:szCs w:val="21"/>
                <w:highlight w:val="none"/>
              </w:rPr>
            </w:pPr>
          </w:p>
        </w:tc>
        <w:tc>
          <w:tcPr>
            <w:tcW w:w="1132" w:type="dxa"/>
            <w:vAlign w:val="center"/>
          </w:tcPr>
          <w:p w14:paraId="377CB753">
            <w:pPr>
              <w:spacing w:line="360" w:lineRule="auto"/>
              <w:jc w:val="center"/>
              <w:rPr>
                <w:rFonts w:hint="eastAsia" w:ascii="宋体" w:hAnsi="宋体" w:cs="宋体"/>
                <w:color w:val="auto"/>
                <w:szCs w:val="21"/>
                <w:highlight w:val="none"/>
              </w:rPr>
            </w:pPr>
          </w:p>
        </w:tc>
        <w:tc>
          <w:tcPr>
            <w:tcW w:w="1228" w:type="dxa"/>
            <w:vAlign w:val="center"/>
          </w:tcPr>
          <w:p w14:paraId="5FBFDC4E">
            <w:pPr>
              <w:spacing w:line="360" w:lineRule="auto"/>
              <w:jc w:val="center"/>
              <w:rPr>
                <w:rFonts w:hint="eastAsia" w:ascii="宋体" w:hAnsi="宋体" w:cs="宋体"/>
                <w:color w:val="auto"/>
                <w:szCs w:val="21"/>
                <w:highlight w:val="none"/>
                <w:lang w:val="en-US" w:eastAsia="zh-CN"/>
              </w:rPr>
            </w:pPr>
          </w:p>
        </w:tc>
      </w:tr>
      <w:tr w14:paraId="2F2F6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64DAC08">
            <w:pPr>
              <w:spacing w:line="360" w:lineRule="auto"/>
              <w:jc w:val="center"/>
              <w:rPr>
                <w:rFonts w:hint="eastAsia" w:ascii="宋体" w:hAnsi="宋体" w:cs="宋体"/>
                <w:color w:val="auto"/>
                <w:szCs w:val="21"/>
                <w:highlight w:val="none"/>
              </w:rPr>
            </w:pPr>
          </w:p>
        </w:tc>
        <w:tc>
          <w:tcPr>
            <w:tcW w:w="2490" w:type="dxa"/>
            <w:vAlign w:val="center"/>
          </w:tcPr>
          <w:p w14:paraId="4E72DC09">
            <w:pPr>
              <w:spacing w:line="360" w:lineRule="auto"/>
              <w:jc w:val="center"/>
              <w:rPr>
                <w:rFonts w:hint="eastAsia" w:ascii="宋体" w:hAnsi="宋体" w:cs="宋体"/>
                <w:color w:val="auto"/>
                <w:szCs w:val="21"/>
                <w:highlight w:val="none"/>
              </w:rPr>
            </w:pPr>
          </w:p>
        </w:tc>
        <w:tc>
          <w:tcPr>
            <w:tcW w:w="2286" w:type="dxa"/>
            <w:vAlign w:val="center"/>
          </w:tcPr>
          <w:p w14:paraId="186D388F">
            <w:pPr>
              <w:spacing w:line="360" w:lineRule="auto"/>
              <w:jc w:val="center"/>
              <w:rPr>
                <w:rFonts w:hint="eastAsia" w:ascii="宋体" w:hAnsi="宋体" w:cs="宋体"/>
                <w:color w:val="auto"/>
                <w:szCs w:val="21"/>
                <w:highlight w:val="none"/>
              </w:rPr>
            </w:pPr>
          </w:p>
        </w:tc>
        <w:tc>
          <w:tcPr>
            <w:tcW w:w="795" w:type="dxa"/>
            <w:vAlign w:val="center"/>
          </w:tcPr>
          <w:p w14:paraId="722C9DE1">
            <w:pPr>
              <w:spacing w:line="360" w:lineRule="auto"/>
              <w:jc w:val="center"/>
              <w:rPr>
                <w:rFonts w:hint="eastAsia" w:ascii="宋体" w:hAnsi="宋体" w:cs="宋体"/>
                <w:color w:val="auto"/>
                <w:szCs w:val="21"/>
                <w:highlight w:val="none"/>
              </w:rPr>
            </w:pPr>
          </w:p>
        </w:tc>
        <w:tc>
          <w:tcPr>
            <w:tcW w:w="843" w:type="dxa"/>
            <w:vAlign w:val="center"/>
          </w:tcPr>
          <w:p w14:paraId="19568F51">
            <w:pPr>
              <w:spacing w:line="360" w:lineRule="auto"/>
              <w:jc w:val="center"/>
              <w:rPr>
                <w:rFonts w:hint="eastAsia" w:ascii="宋体" w:hAnsi="宋体" w:cs="宋体"/>
                <w:color w:val="auto"/>
                <w:szCs w:val="21"/>
                <w:highlight w:val="none"/>
              </w:rPr>
            </w:pPr>
          </w:p>
        </w:tc>
        <w:tc>
          <w:tcPr>
            <w:tcW w:w="1035" w:type="dxa"/>
            <w:vAlign w:val="center"/>
          </w:tcPr>
          <w:p w14:paraId="55271831">
            <w:pPr>
              <w:spacing w:line="360" w:lineRule="auto"/>
              <w:jc w:val="center"/>
              <w:rPr>
                <w:rFonts w:hint="eastAsia" w:ascii="宋体" w:hAnsi="宋体" w:cs="宋体"/>
                <w:color w:val="auto"/>
                <w:szCs w:val="21"/>
                <w:highlight w:val="none"/>
              </w:rPr>
            </w:pPr>
          </w:p>
        </w:tc>
        <w:tc>
          <w:tcPr>
            <w:tcW w:w="1132" w:type="dxa"/>
            <w:vAlign w:val="center"/>
          </w:tcPr>
          <w:p w14:paraId="7CCA77B3">
            <w:pPr>
              <w:spacing w:line="360" w:lineRule="auto"/>
              <w:jc w:val="center"/>
              <w:rPr>
                <w:rFonts w:hint="eastAsia" w:ascii="宋体" w:hAnsi="宋体" w:cs="宋体"/>
                <w:color w:val="auto"/>
                <w:szCs w:val="21"/>
                <w:highlight w:val="none"/>
              </w:rPr>
            </w:pPr>
          </w:p>
        </w:tc>
        <w:tc>
          <w:tcPr>
            <w:tcW w:w="1228" w:type="dxa"/>
            <w:vAlign w:val="center"/>
          </w:tcPr>
          <w:p w14:paraId="1DBA79B7">
            <w:pPr>
              <w:spacing w:line="360" w:lineRule="auto"/>
              <w:jc w:val="center"/>
              <w:rPr>
                <w:rFonts w:hint="eastAsia" w:ascii="宋体" w:hAnsi="宋体" w:cs="宋体"/>
                <w:color w:val="auto"/>
                <w:szCs w:val="21"/>
                <w:highlight w:val="none"/>
                <w:lang w:val="en-US" w:eastAsia="zh-CN"/>
              </w:rPr>
            </w:pPr>
          </w:p>
        </w:tc>
      </w:tr>
      <w:tr w14:paraId="43489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280" w:type="dxa"/>
            <w:gridSpan w:val="6"/>
            <w:vAlign w:val="center"/>
          </w:tcPr>
          <w:p w14:paraId="699DD626">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合计</w:t>
            </w:r>
          </w:p>
        </w:tc>
        <w:tc>
          <w:tcPr>
            <w:tcW w:w="2360" w:type="dxa"/>
            <w:gridSpan w:val="2"/>
            <w:vAlign w:val="center"/>
          </w:tcPr>
          <w:p w14:paraId="314C3B71">
            <w:pPr>
              <w:spacing w:line="360" w:lineRule="auto"/>
              <w:jc w:val="center"/>
              <w:rPr>
                <w:rFonts w:hint="eastAsia" w:ascii="宋体" w:hAnsi="宋体" w:cs="宋体"/>
                <w:color w:val="auto"/>
                <w:szCs w:val="21"/>
                <w:highlight w:val="none"/>
                <w:lang w:val="en-US" w:eastAsia="zh-CN"/>
              </w:rPr>
            </w:pPr>
          </w:p>
        </w:tc>
      </w:tr>
    </w:tbl>
    <w:p w14:paraId="2AFBCD12">
      <w:pPr>
        <w:pStyle w:val="13"/>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35E5294D">
      <w:pPr>
        <w:pStyle w:val="2"/>
        <w:rPr>
          <w:rFonts w:hint="eastAsia"/>
        </w:rPr>
      </w:pPr>
    </w:p>
    <w:p w14:paraId="169BC084">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32"/>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20"/>
    </w:tbl>
    <w:p w14:paraId="3369924F">
      <w:pPr>
        <w:spacing w:line="360" w:lineRule="auto"/>
        <w:ind w:firstLine="210" w:firstLineChars="100"/>
        <w:rPr>
          <w:rFonts w:hint="eastAsia" w:ascii="宋体" w:hAnsi="宋体"/>
          <w:color w:val="auto"/>
          <w:szCs w:val="21"/>
          <w:highlight w:val="none"/>
        </w:rPr>
      </w:pPr>
      <w:bookmarkStart w:id="121" w:name="_Toc54941345"/>
      <w:bookmarkStart w:id="122" w:name="_Toc15038"/>
      <w:bookmarkStart w:id="123"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5805"/>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713"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805"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713" w:type="dxa"/>
            <w:vAlign w:val="center"/>
          </w:tcPr>
          <w:p w14:paraId="76DFE926">
            <w:pPr>
              <w:spacing w:line="360" w:lineRule="auto"/>
              <w:jc w:val="center"/>
              <w:rPr>
                <w:rFonts w:hint="eastAsia" w:ascii="宋体" w:hAnsi="宋体" w:eastAsia="宋体" w:cs="宋体"/>
                <w:color w:val="auto"/>
                <w:spacing w:val="-4"/>
                <w:szCs w:val="21"/>
                <w:highlight w:val="none"/>
                <w:lang w:val="en-US" w:eastAsia="zh-CN"/>
              </w:rPr>
            </w:pPr>
            <w:r>
              <w:rPr>
                <w:rFonts w:hint="eastAsia" w:ascii="宋体" w:hAnsi="宋体" w:cs="宋体"/>
                <w:color w:val="auto"/>
                <w:spacing w:val="-4"/>
                <w:szCs w:val="21"/>
                <w:highlight w:val="none"/>
                <w:lang w:val="en-US" w:eastAsia="zh-CN"/>
              </w:rPr>
              <w:t>1</w:t>
            </w:r>
          </w:p>
        </w:tc>
        <w:tc>
          <w:tcPr>
            <w:tcW w:w="5805" w:type="dxa"/>
            <w:vAlign w:val="center"/>
          </w:tcPr>
          <w:p w14:paraId="124A3EC5">
            <w:pPr>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桐城师范高等专科学校监控系统维修和维保</w:t>
            </w:r>
            <w:r>
              <w:rPr>
                <w:rFonts w:hint="eastAsia" w:ascii="宋体" w:hAnsi="宋体" w:eastAsia="宋体" w:cs="宋体"/>
                <w:color w:val="auto"/>
                <w:szCs w:val="21"/>
                <w:highlight w:val="none"/>
                <w:lang w:val="en-US" w:eastAsia="zh-CN"/>
              </w:rPr>
              <w:t>项目</w:t>
            </w: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13" w:type="dxa"/>
            <w:vAlign w:val="center"/>
          </w:tcPr>
          <w:p w14:paraId="12FAAF01">
            <w:pPr>
              <w:spacing w:line="360" w:lineRule="auto"/>
              <w:jc w:val="center"/>
              <w:rPr>
                <w:rFonts w:ascii="宋体" w:hAnsi="宋体" w:cs="宋体"/>
                <w:color w:val="auto"/>
                <w:spacing w:val="-4"/>
                <w:szCs w:val="21"/>
                <w:highlight w:val="none"/>
              </w:rPr>
            </w:pPr>
          </w:p>
        </w:tc>
        <w:tc>
          <w:tcPr>
            <w:tcW w:w="5805" w:type="dxa"/>
            <w:vAlign w:val="center"/>
          </w:tcPr>
          <w:p w14:paraId="643D79C7">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713" w:type="dxa"/>
            <w:vAlign w:val="center"/>
          </w:tcPr>
          <w:p w14:paraId="28968CA1">
            <w:pPr>
              <w:spacing w:line="360" w:lineRule="auto"/>
              <w:jc w:val="center"/>
              <w:rPr>
                <w:rFonts w:ascii="宋体" w:hAnsi="宋体" w:cs="宋体"/>
                <w:color w:val="auto"/>
                <w:spacing w:val="-4"/>
                <w:szCs w:val="21"/>
                <w:highlight w:val="none"/>
              </w:rPr>
            </w:pPr>
          </w:p>
        </w:tc>
        <w:tc>
          <w:tcPr>
            <w:tcW w:w="5805" w:type="dxa"/>
            <w:vAlign w:val="center"/>
          </w:tcPr>
          <w:p w14:paraId="7489DB2E">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4F47B0DE">
            <w:pPr>
              <w:spacing w:line="360" w:lineRule="auto"/>
              <w:jc w:val="center"/>
              <w:rPr>
                <w:rFonts w:ascii="宋体" w:hAnsi="宋体" w:cs="宋体"/>
                <w:b/>
                <w:color w:val="auto"/>
                <w:szCs w:val="21"/>
                <w:highlight w:val="none"/>
              </w:rPr>
            </w:pPr>
          </w:p>
        </w:tc>
      </w:tr>
      <w:tr w14:paraId="0BBBA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713" w:type="dxa"/>
            <w:vAlign w:val="center"/>
          </w:tcPr>
          <w:p w14:paraId="5EE68EA4">
            <w:pPr>
              <w:spacing w:line="360" w:lineRule="auto"/>
              <w:jc w:val="center"/>
              <w:rPr>
                <w:rFonts w:ascii="宋体" w:hAnsi="宋体" w:cs="宋体"/>
                <w:color w:val="auto"/>
                <w:spacing w:val="-4"/>
                <w:szCs w:val="21"/>
                <w:highlight w:val="none"/>
              </w:rPr>
            </w:pPr>
          </w:p>
        </w:tc>
        <w:tc>
          <w:tcPr>
            <w:tcW w:w="5805" w:type="dxa"/>
            <w:vAlign w:val="center"/>
          </w:tcPr>
          <w:p w14:paraId="655B02E4">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D8A4A5D">
            <w:pPr>
              <w:spacing w:line="360" w:lineRule="auto"/>
              <w:jc w:val="center"/>
              <w:rPr>
                <w:rFonts w:ascii="宋体" w:hAnsi="宋体" w:cs="宋体"/>
                <w:b/>
                <w:color w:val="auto"/>
                <w:szCs w:val="21"/>
                <w:highlight w:val="none"/>
              </w:rPr>
            </w:pPr>
          </w:p>
        </w:tc>
      </w:tr>
      <w:tr w14:paraId="6C60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713" w:type="dxa"/>
            <w:vAlign w:val="center"/>
          </w:tcPr>
          <w:p w14:paraId="071E597F">
            <w:pPr>
              <w:spacing w:line="360" w:lineRule="auto"/>
              <w:jc w:val="center"/>
              <w:rPr>
                <w:rFonts w:ascii="宋体" w:hAnsi="宋体" w:cs="宋体"/>
                <w:color w:val="auto"/>
                <w:spacing w:val="-4"/>
                <w:szCs w:val="21"/>
                <w:highlight w:val="none"/>
              </w:rPr>
            </w:pPr>
          </w:p>
        </w:tc>
        <w:tc>
          <w:tcPr>
            <w:tcW w:w="5805" w:type="dxa"/>
            <w:vAlign w:val="center"/>
          </w:tcPr>
          <w:p w14:paraId="40A44E81">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7B446653">
            <w:pPr>
              <w:spacing w:line="360" w:lineRule="auto"/>
              <w:jc w:val="center"/>
              <w:rPr>
                <w:rFonts w:ascii="宋体" w:hAnsi="宋体" w:cs="宋体"/>
                <w:b/>
                <w:color w:val="auto"/>
                <w:szCs w:val="21"/>
                <w:highlight w:val="none"/>
              </w:rPr>
            </w:pPr>
          </w:p>
        </w:tc>
      </w:tr>
      <w:tr w14:paraId="2FF1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713" w:type="dxa"/>
            <w:vAlign w:val="center"/>
          </w:tcPr>
          <w:p w14:paraId="27D83F44">
            <w:pPr>
              <w:spacing w:line="360" w:lineRule="auto"/>
              <w:jc w:val="center"/>
              <w:rPr>
                <w:rFonts w:ascii="宋体" w:hAnsi="宋体" w:cs="宋体"/>
                <w:color w:val="auto"/>
                <w:spacing w:val="-4"/>
                <w:szCs w:val="21"/>
                <w:highlight w:val="none"/>
              </w:rPr>
            </w:pPr>
          </w:p>
        </w:tc>
        <w:tc>
          <w:tcPr>
            <w:tcW w:w="5805" w:type="dxa"/>
            <w:vAlign w:val="center"/>
          </w:tcPr>
          <w:p w14:paraId="242593A6">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2209" w:type="dxa"/>
            <w:vAlign w:val="center"/>
          </w:tcPr>
          <w:p w14:paraId="416FB20B">
            <w:pPr>
              <w:spacing w:line="360" w:lineRule="auto"/>
              <w:jc w:val="center"/>
              <w:rPr>
                <w:rFonts w:ascii="宋体" w:hAnsi="宋体" w:cs="宋体"/>
                <w:b/>
                <w:color w:val="auto"/>
                <w:szCs w:val="21"/>
                <w:highlight w:val="none"/>
              </w:rPr>
            </w:pPr>
          </w:p>
        </w:tc>
      </w:tr>
      <w:tr w14:paraId="096D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13" w:type="dxa"/>
            <w:vAlign w:val="center"/>
          </w:tcPr>
          <w:p w14:paraId="5D9E189A">
            <w:pPr>
              <w:spacing w:line="360" w:lineRule="auto"/>
              <w:jc w:val="center"/>
              <w:rPr>
                <w:rFonts w:ascii="宋体" w:hAnsi="宋体" w:cs="宋体"/>
                <w:color w:val="auto"/>
                <w:spacing w:val="-4"/>
                <w:szCs w:val="21"/>
                <w:highlight w:val="none"/>
              </w:rPr>
            </w:pPr>
          </w:p>
        </w:tc>
        <w:tc>
          <w:tcPr>
            <w:tcW w:w="8014" w:type="dxa"/>
            <w:gridSpan w:val="2"/>
            <w:vAlign w:val="center"/>
          </w:tcPr>
          <w:p w14:paraId="5C8DA266">
            <w:pPr>
              <w:keepNext w:val="0"/>
              <w:keepLines w:val="0"/>
              <w:widowControl/>
              <w:suppressLineNumbers w:val="0"/>
              <w:jc w:val="center"/>
              <w:rPr>
                <w:rFonts w:hint="eastAsia" w:ascii="宋体" w:hAnsi="宋体" w:eastAsia="宋体" w:cs="宋体"/>
                <w:color w:val="000000"/>
                <w:kern w:val="0"/>
                <w:sz w:val="20"/>
                <w:szCs w:val="20"/>
                <w:lang w:val="en-US" w:eastAsia="zh-CN" w:bidi="ar"/>
              </w:rPr>
            </w:pPr>
          </w:p>
          <w:p w14:paraId="19258B9E">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我单位完全响应谈判文件所有内容。</w:t>
            </w:r>
          </w:p>
          <w:p w14:paraId="11A6A4C3">
            <w:pPr>
              <w:spacing w:line="360" w:lineRule="auto"/>
              <w:jc w:val="center"/>
              <w:rPr>
                <w:rFonts w:ascii="宋体" w:hAnsi="宋体" w:cs="宋体"/>
                <w:b/>
                <w:color w:val="auto"/>
                <w:szCs w:val="21"/>
                <w:highlight w:val="none"/>
              </w:rPr>
            </w:pPr>
          </w:p>
        </w:tc>
      </w:tr>
    </w:tbl>
    <w:p w14:paraId="13BFEC07">
      <w:pPr>
        <w:tabs>
          <w:tab w:val="left" w:pos="1815"/>
        </w:tabs>
        <w:spacing w:line="360" w:lineRule="auto"/>
        <w:rPr>
          <w:rFonts w:ascii="宋体" w:hAnsi="宋体" w:cs="Arial"/>
          <w:b/>
          <w:color w:val="auto"/>
          <w:szCs w:val="21"/>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5"/>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60BA5F1">
      <w:pPr>
        <w:pStyle w:val="5"/>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5"/>
        <w:numPr>
          <w:ilvl w:val="0"/>
          <w:numId w:val="4"/>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21"/>
    </w:p>
    <w:p w14:paraId="1BFC9716">
      <w:pPr>
        <w:pStyle w:val="13"/>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34172A86">
      <w:pPr>
        <w:spacing w:line="360" w:lineRule="auto"/>
        <w:rPr>
          <w:rFonts w:ascii="宋体"/>
          <w:b/>
          <w:bCs/>
          <w:color w:val="auto"/>
          <w:sz w:val="24"/>
          <w:szCs w:val="24"/>
          <w:highlight w:val="none"/>
        </w:rPr>
      </w:pPr>
      <w:r>
        <w:rPr>
          <w:rFonts w:hint="eastAsia" w:ascii="宋体"/>
          <w:b/>
          <w:bCs/>
          <w:color w:val="auto"/>
          <w:sz w:val="24"/>
          <w:szCs w:val="24"/>
          <w:highlight w:val="none"/>
        </w:rPr>
        <w:t>此表请各供应商多准备几份，并加盖供应商公章及法定代表人或授权委托人签章，以便在</w:t>
      </w:r>
      <w:r>
        <w:rPr>
          <w:rFonts w:hint="eastAsia" w:ascii="宋体"/>
          <w:b/>
          <w:bCs/>
          <w:color w:val="auto"/>
          <w:sz w:val="24"/>
          <w:szCs w:val="24"/>
          <w:highlight w:val="none"/>
          <w:lang w:val="en-US" w:eastAsia="zh-CN"/>
        </w:rPr>
        <w:t>谈判</w:t>
      </w:r>
      <w:r>
        <w:rPr>
          <w:rFonts w:hint="eastAsia" w:ascii="宋体"/>
          <w:b/>
          <w:bCs/>
          <w:color w:val="auto"/>
          <w:sz w:val="24"/>
          <w:szCs w:val="24"/>
          <w:highlight w:val="none"/>
        </w:rPr>
        <w:t>时报价使用。（此表由供应商磋商现场递交）</w:t>
      </w:r>
    </w:p>
    <w:p w14:paraId="6E869DC6">
      <w:pPr>
        <w:spacing w:line="360" w:lineRule="auto"/>
        <w:rPr>
          <w:rFonts w:ascii="宋体"/>
          <w:color w:val="auto"/>
          <w:szCs w:val="21"/>
          <w:highlight w:val="none"/>
        </w:rPr>
      </w:pPr>
    </w:p>
    <w:p w14:paraId="5A6A452D">
      <w:pPr>
        <w:pStyle w:val="5"/>
        <w:tabs>
          <w:tab w:val="left" w:pos="2730"/>
        </w:tabs>
        <w:rPr>
          <w:rFonts w:ascii="宋体"/>
          <w:color w:val="auto"/>
          <w:szCs w:val="21"/>
          <w:highlight w:val="none"/>
        </w:rPr>
      </w:pPr>
    </w:p>
    <w:p w14:paraId="4072E3CD">
      <w:pPr>
        <w:pStyle w:val="5"/>
        <w:tabs>
          <w:tab w:val="left" w:pos="2730"/>
        </w:tabs>
        <w:rPr>
          <w:rFonts w:ascii="宋体"/>
          <w:color w:val="auto"/>
          <w:szCs w:val="21"/>
          <w:highlight w:val="none"/>
        </w:rPr>
      </w:pPr>
    </w:p>
    <w:p w14:paraId="1A0181B2">
      <w:pPr>
        <w:rPr>
          <w:color w:val="auto"/>
          <w:highlight w:val="none"/>
        </w:rPr>
      </w:pPr>
    </w:p>
    <w:bookmarkEnd w:id="122"/>
    <w:bookmarkEnd w:id="123"/>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24" w:name="_Toc2920"/>
      <w:bookmarkStart w:id="125"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8FB52FC">
      <w:pPr>
        <w:pStyle w:val="14"/>
        <w:ind w:left="0" w:leftChars="0" w:firstLine="0" w:firstLineChars="0"/>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24"/>
      <w:bookmarkEnd w:id="125"/>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26" w:name="_Toc28007"/>
      <w:bookmarkStart w:id="127"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6"/>
      <w:bookmarkEnd w:id="127"/>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8" w:name="_Toc7076"/>
    </w:p>
    <w:bookmarkEnd w:id="128"/>
    <w:p w14:paraId="71CA5805">
      <w:pPr>
        <w:pStyle w:val="5"/>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5"/>
        <w:shd w:val="clear" w:color="auto" w:fill="FFFFFF"/>
        <w:tabs>
          <w:tab w:val="left" w:pos="2730"/>
        </w:tabs>
        <w:jc w:val="center"/>
        <w:rPr>
          <w:rFonts w:hint="eastAsia"/>
          <w:color w:val="auto"/>
          <w:sz w:val="28"/>
          <w:szCs w:val="28"/>
          <w:highlight w:val="none"/>
          <w:lang w:val="en-US" w:eastAsia="zh-CN"/>
        </w:rPr>
      </w:pPr>
      <w:bookmarkStart w:id="129" w:name="_Toc9439"/>
      <w:r>
        <w:rPr>
          <w:rFonts w:hint="eastAsia"/>
          <w:color w:val="auto"/>
          <w:sz w:val="28"/>
          <w:szCs w:val="28"/>
          <w:highlight w:val="none"/>
          <w:lang w:val="en-US" w:eastAsia="zh-CN"/>
        </w:rPr>
        <w:t>八、残疾人福利性单位声明函</w:t>
      </w:r>
      <w:bookmarkEnd w:id="129"/>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56B084E">
      <w:pPr>
        <w:pStyle w:val="5"/>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30" w:name="_Toc22272"/>
      <w:bookmarkStart w:id="131" w:name="_Toc26186"/>
    </w:p>
    <w:p w14:paraId="7F4F2ED1">
      <w:pPr>
        <w:pStyle w:val="5"/>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30"/>
      <w:bookmarkEnd w:id="131"/>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5"/>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EA4EE2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center"/>
        <w:rPr>
          <w:color w:val="auto"/>
          <w:highlight w:val="none"/>
        </w:rPr>
      </w:pPr>
      <w:bookmarkStart w:id="132" w:name="_Toc8573"/>
      <w:bookmarkStart w:id="133" w:name="_Toc2700"/>
      <w:bookmarkStart w:id="134" w:name="_Toc32741"/>
      <w:bookmarkStart w:id="135"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32"/>
      <w:bookmarkEnd w:id="133"/>
      <w:bookmarkEnd w:id="134"/>
      <w:bookmarkEnd w:id="135"/>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8"/>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8"/>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8"/>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8"/>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abstractNum w:abstractNumId="3">
    <w:nsid w:val="7F8EED0D"/>
    <w:multiLevelType w:val="singleLevel"/>
    <w:tmpl w:val="7F8EED0D"/>
    <w:lvl w:ilvl="0" w:tentative="0">
      <w:start w:val="37"/>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69A7723"/>
    <w:rsid w:val="07C80EFB"/>
    <w:rsid w:val="0CEC743A"/>
    <w:rsid w:val="0CEE4F60"/>
    <w:rsid w:val="0CFF6A8E"/>
    <w:rsid w:val="0D9D36B8"/>
    <w:rsid w:val="0E004A56"/>
    <w:rsid w:val="0E27629C"/>
    <w:rsid w:val="0F6634D4"/>
    <w:rsid w:val="10E24D87"/>
    <w:rsid w:val="119A1F8D"/>
    <w:rsid w:val="13750D6C"/>
    <w:rsid w:val="13C347B9"/>
    <w:rsid w:val="16D72586"/>
    <w:rsid w:val="185C36C6"/>
    <w:rsid w:val="1A66331F"/>
    <w:rsid w:val="1AB377E9"/>
    <w:rsid w:val="1E0104DD"/>
    <w:rsid w:val="1EA4741C"/>
    <w:rsid w:val="283C571B"/>
    <w:rsid w:val="289742A6"/>
    <w:rsid w:val="28C826B1"/>
    <w:rsid w:val="2B7803BF"/>
    <w:rsid w:val="2B9F47DA"/>
    <w:rsid w:val="2CB85B3D"/>
    <w:rsid w:val="2D13017B"/>
    <w:rsid w:val="2E9279E9"/>
    <w:rsid w:val="30C62676"/>
    <w:rsid w:val="30D20571"/>
    <w:rsid w:val="30FF6E8C"/>
    <w:rsid w:val="310E0E7D"/>
    <w:rsid w:val="31C10B12"/>
    <w:rsid w:val="329154FB"/>
    <w:rsid w:val="334309E8"/>
    <w:rsid w:val="36430797"/>
    <w:rsid w:val="37D420BC"/>
    <w:rsid w:val="388A16E7"/>
    <w:rsid w:val="3997185B"/>
    <w:rsid w:val="3CC75F2B"/>
    <w:rsid w:val="3DCE3E6E"/>
    <w:rsid w:val="43BE3353"/>
    <w:rsid w:val="43E61C01"/>
    <w:rsid w:val="443D4540"/>
    <w:rsid w:val="44992175"/>
    <w:rsid w:val="45553AE5"/>
    <w:rsid w:val="45F02040"/>
    <w:rsid w:val="46D1677D"/>
    <w:rsid w:val="46E24944"/>
    <w:rsid w:val="47727F60"/>
    <w:rsid w:val="478829C7"/>
    <w:rsid w:val="47D26073"/>
    <w:rsid w:val="47E75CBA"/>
    <w:rsid w:val="493F0316"/>
    <w:rsid w:val="4AF018C8"/>
    <w:rsid w:val="4B700D53"/>
    <w:rsid w:val="4C697855"/>
    <w:rsid w:val="4C890BEE"/>
    <w:rsid w:val="4D076D21"/>
    <w:rsid w:val="4D317F5A"/>
    <w:rsid w:val="50FD7AEE"/>
    <w:rsid w:val="52021EE1"/>
    <w:rsid w:val="5322283B"/>
    <w:rsid w:val="536D2F2E"/>
    <w:rsid w:val="53A14C9F"/>
    <w:rsid w:val="546D21DB"/>
    <w:rsid w:val="56310FD9"/>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5">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6">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7">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8">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9">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0">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1">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12">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3">
    <w:name w:val="Normal Indent"/>
    <w:basedOn w:val="1"/>
    <w:next w:val="14"/>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4">
    <w:name w:val="Body Text First Indent 2"/>
    <w:basedOn w:val="15"/>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5">
    <w:name w:val="Body Text Indent"/>
    <w:basedOn w:val="1"/>
    <w:next w:val="16"/>
    <w:link w:val="69"/>
    <w:autoRedefine/>
    <w:unhideWhenUsed/>
    <w:qFormat/>
    <w:uiPriority w:val="0"/>
    <w:pPr>
      <w:ind w:left="2730" w:hanging="2730" w:hangingChars="1365"/>
      <w:jc w:val="left"/>
    </w:pPr>
    <w:rPr>
      <w:sz w:val="20"/>
      <w:lang w:bidi="he-IL"/>
    </w:rPr>
  </w:style>
  <w:style w:type="paragraph" w:styleId="16">
    <w:name w:val="envelope return"/>
    <w:basedOn w:val="1"/>
    <w:autoRedefine/>
    <w:qFormat/>
    <w:uiPriority w:val="0"/>
    <w:pPr>
      <w:snapToGrid w:val="0"/>
    </w:pPr>
    <w:rPr>
      <w:rFonts w:ascii="Arial" w:hAnsi="Arial"/>
    </w:rPr>
  </w:style>
  <w:style w:type="paragraph" w:styleId="17">
    <w:name w:val="annotation text"/>
    <w:basedOn w:val="1"/>
    <w:link w:val="123"/>
    <w:autoRedefine/>
    <w:unhideWhenUsed/>
    <w:qFormat/>
    <w:uiPriority w:val="0"/>
    <w:pPr>
      <w:adjustRightInd/>
      <w:spacing w:line="500" w:lineRule="exact"/>
      <w:jc w:val="left"/>
    </w:pPr>
    <w:rPr>
      <w:sz w:val="20"/>
    </w:rPr>
  </w:style>
  <w:style w:type="paragraph" w:styleId="18">
    <w:name w:val="Body Text 3"/>
    <w:basedOn w:val="1"/>
    <w:link w:val="79"/>
    <w:autoRedefine/>
    <w:semiHidden/>
    <w:unhideWhenUsed/>
    <w:qFormat/>
    <w:uiPriority w:val="99"/>
    <w:pPr>
      <w:spacing w:after="120"/>
    </w:pPr>
    <w:rPr>
      <w:sz w:val="16"/>
      <w:szCs w:val="16"/>
    </w:rPr>
  </w:style>
  <w:style w:type="paragraph" w:styleId="19">
    <w:name w:val="Body Text"/>
    <w:basedOn w:val="1"/>
    <w:link w:val="86"/>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24"/>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84"/>
    <w:autoRedefine/>
    <w:semiHidden/>
    <w:unhideWhenUsed/>
    <w:qFormat/>
    <w:uiPriority w:val="99"/>
    <w:pPr>
      <w:ind w:left="100" w:leftChars="2500"/>
    </w:pPr>
  </w:style>
  <w:style w:type="paragraph" w:styleId="26">
    <w:name w:val="Body Text Indent 2"/>
    <w:basedOn w:val="1"/>
    <w:link w:val="82"/>
    <w:autoRedefine/>
    <w:unhideWhenUsed/>
    <w:qFormat/>
    <w:uiPriority w:val="99"/>
    <w:pPr>
      <w:spacing w:after="120" w:line="480" w:lineRule="auto"/>
      <w:ind w:left="420" w:leftChars="200"/>
      <w:jc w:val="left"/>
    </w:pPr>
  </w:style>
  <w:style w:type="paragraph" w:styleId="27">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34"/>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93"/>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TML Definition"/>
    <w:basedOn w:val="42"/>
    <w:semiHidden/>
    <w:unhideWhenUsed/>
    <w:qFormat/>
    <w:uiPriority w:val="99"/>
  </w:style>
  <w:style w:type="character" w:styleId="46">
    <w:name w:val="HTML Typewriter"/>
    <w:basedOn w:val="42"/>
    <w:semiHidden/>
    <w:unhideWhenUsed/>
    <w:qFormat/>
    <w:uiPriority w:val="99"/>
    <w:rPr>
      <w:rFonts w:ascii="monospace" w:hAnsi="monospace" w:eastAsia="monospace" w:cs="monospace"/>
      <w:sz w:val="20"/>
    </w:rPr>
  </w:style>
  <w:style w:type="character" w:styleId="47">
    <w:name w:val="HTML Acronym"/>
    <w:basedOn w:val="42"/>
    <w:semiHidden/>
    <w:unhideWhenUsed/>
    <w:qFormat/>
    <w:uiPriority w:val="99"/>
  </w:style>
  <w:style w:type="character" w:styleId="48">
    <w:name w:val="HTML Variable"/>
    <w:basedOn w:val="42"/>
    <w:semiHidden/>
    <w:unhideWhenUsed/>
    <w:qFormat/>
    <w:uiPriority w:val="99"/>
  </w:style>
  <w:style w:type="character" w:styleId="49">
    <w:name w:val="Hyperlink"/>
    <w:basedOn w:val="42"/>
    <w:autoRedefine/>
    <w:unhideWhenUsed/>
    <w:qFormat/>
    <w:uiPriority w:val="99"/>
    <w:rPr>
      <w:color w:val="0000FF" w:themeColor="hyperlink"/>
      <w:u w:val="single"/>
      <w14:textFill>
        <w14:solidFill>
          <w14:schemeClr w14:val="hlink"/>
        </w14:solidFill>
      </w14:textFill>
    </w:rPr>
  </w:style>
  <w:style w:type="character" w:styleId="50">
    <w:name w:val="HTML Code"/>
    <w:basedOn w:val="42"/>
    <w:semiHidden/>
    <w:unhideWhenUsed/>
    <w:qFormat/>
    <w:uiPriority w:val="99"/>
    <w:rPr>
      <w:rFonts w:hint="default" w:ascii="monospace" w:hAnsi="monospace" w:eastAsia="monospace" w:cs="monospace"/>
      <w:sz w:val="20"/>
    </w:rPr>
  </w:style>
  <w:style w:type="character" w:styleId="51">
    <w:name w:val="annotation reference"/>
    <w:autoRedefine/>
    <w:semiHidden/>
    <w:qFormat/>
    <w:uiPriority w:val="0"/>
    <w:rPr>
      <w:sz w:val="21"/>
      <w:szCs w:val="21"/>
    </w:rPr>
  </w:style>
  <w:style w:type="character" w:styleId="52">
    <w:name w:val="HTML Cite"/>
    <w:basedOn w:val="42"/>
    <w:semiHidden/>
    <w:unhideWhenUsed/>
    <w:qFormat/>
    <w:uiPriority w:val="99"/>
  </w:style>
  <w:style w:type="character" w:styleId="53">
    <w:name w:val="footnote reference"/>
    <w:autoRedefine/>
    <w:qFormat/>
    <w:uiPriority w:val="0"/>
    <w:rPr>
      <w:vertAlign w:val="superscript"/>
    </w:rPr>
  </w:style>
  <w:style w:type="character" w:styleId="54">
    <w:name w:val="HTML Keyboard"/>
    <w:basedOn w:val="42"/>
    <w:semiHidden/>
    <w:unhideWhenUsed/>
    <w:qFormat/>
    <w:uiPriority w:val="99"/>
    <w:rPr>
      <w:rFonts w:hint="default" w:ascii="monospace" w:hAnsi="monospace" w:eastAsia="monospace" w:cs="monospace"/>
      <w:sz w:val="20"/>
    </w:rPr>
  </w:style>
  <w:style w:type="character" w:styleId="55">
    <w:name w:val="HTML Sample"/>
    <w:basedOn w:val="42"/>
    <w:semiHidden/>
    <w:unhideWhenUsed/>
    <w:qFormat/>
    <w:uiPriority w:val="99"/>
    <w:rPr>
      <w:rFonts w:hint="default" w:ascii="monospace" w:hAnsi="monospace" w:eastAsia="monospace" w:cs="monospace"/>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2"/>
    <w:link w:val="5"/>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2"/>
    <w:link w:val="6"/>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2"/>
    <w:link w:val="7"/>
    <w:autoRedefine/>
    <w:qFormat/>
    <w:uiPriority w:val="9"/>
    <w:rPr>
      <w:rFonts w:ascii="Times New Roman" w:hAnsi="Times New Roman" w:eastAsia="宋体" w:cs="Times New Roman"/>
      <w:b/>
      <w:bCs/>
      <w:sz w:val="28"/>
      <w:szCs w:val="28"/>
    </w:rPr>
  </w:style>
  <w:style w:type="character" w:customStyle="1" w:styleId="62">
    <w:name w:val="标题 6 字符"/>
    <w:basedOn w:val="42"/>
    <w:link w:val="8"/>
    <w:autoRedefine/>
    <w:qFormat/>
    <w:uiPriority w:val="9"/>
    <w:rPr>
      <w:rFonts w:ascii="Arial" w:hAnsi="Arial" w:eastAsia="黑体" w:cs="Times New Roman"/>
      <w:b/>
      <w:bCs/>
      <w:sz w:val="24"/>
      <w:szCs w:val="24"/>
    </w:rPr>
  </w:style>
  <w:style w:type="character" w:customStyle="1" w:styleId="63">
    <w:name w:val="标题 7 字符"/>
    <w:basedOn w:val="42"/>
    <w:link w:val="9"/>
    <w:autoRedefine/>
    <w:qFormat/>
    <w:uiPriority w:val="0"/>
    <w:rPr>
      <w:rFonts w:ascii="Times New Roman" w:hAnsi="Times New Roman" w:eastAsia="宋体" w:cs="Times New Roman"/>
      <w:b/>
      <w:bCs/>
      <w:sz w:val="24"/>
      <w:szCs w:val="24"/>
    </w:rPr>
  </w:style>
  <w:style w:type="character" w:customStyle="1" w:styleId="64">
    <w:name w:val="标题 8 字符"/>
    <w:basedOn w:val="42"/>
    <w:link w:val="10"/>
    <w:autoRedefine/>
    <w:qFormat/>
    <w:uiPriority w:val="0"/>
    <w:rPr>
      <w:rFonts w:ascii="Arial" w:hAnsi="Arial" w:eastAsia="黑体" w:cs="Times New Roman"/>
      <w:sz w:val="24"/>
      <w:szCs w:val="24"/>
    </w:rPr>
  </w:style>
  <w:style w:type="character" w:customStyle="1" w:styleId="65">
    <w:name w:val="标题 9 字符"/>
    <w:basedOn w:val="42"/>
    <w:link w:val="11"/>
    <w:autoRedefine/>
    <w:qFormat/>
    <w:uiPriority w:val="9"/>
    <w:rPr>
      <w:rFonts w:ascii="Arial" w:hAnsi="Arial" w:eastAsia="黑体" w:cs="Times New Roman"/>
      <w:szCs w:val="21"/>
    </w:rPr>
  </w:style>
  <w:style w:type="character" w:customStyle="1" w:styleId="66">
    <w:name w:val="页眉 字符"/>
    <w:basedOn w:val="42"/>
    <w:link w:val="29"/>
    <w:autoRedefine/>
    <w:qFormat/>
    <w:uiPriority w:val="0"/>
    <w:rPr>
      <w:sz w:val="18"/>
      <w:szCs w:val="18"/>
    </w:rPr>
  </w:style>
  <w:style w:type="character" w:customStyle="1" w:styleId="67">
    <w:name w:val="页脚 字符"/>
    <w:basedOn w:val="42"/>
    <w:link w:val="28"/>
    <w:autoRedefine/>
    <w:qFormat/>
    <w:uiPriority w:val="0"/>
    <w:rPr>
      <w:sz w:val="18"/>
      <w:szCs w:val="18"/>
    </w:rPr>
  </w:style>
  <w:style w:type="character" w:customStyle="1" w:styleId="68">
    <w:name w:val="批注框文本 字符"/>
    <w:basedOn w:val="42"/>
    <w:link w:val="27"/>
    <w:autoRedefine/>
    <w:semiHidden/>
    <w:qFormat/>
    <w:uiPriority w:val="99"/>
    <w:rPr>
      <w:sz w:val="18"/>
      <w:szCs w:val="18"/>
    </w:rPr>
  </w:style>
  <w:style w:type="character" w:customStyle="1" w:styleId="69">
    <w:name w:val="正文文本缩进 字符"/>
    <w:basedOn w:val="42"/>
    <w:link w:val="15"/>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80">
    <w:name w:val="fontstyle01"/>
    <w:basedOn w:val="42"/>
    <w:autoRedefine/>
    <w:qFormat/>
    <w:uiPriority w:val="0"/>
    <w:rPr>
      <w:rFonts w:hint="eastAsia" w:ascii="宋体" w:hAnsi="宋体" w:eastAsia="宋体"/>
      <w:color w:val="000000"/>
      <w:sz w:val="44"/>
      <w:szCs w:val="44"/>
    </w:rPr>
  </w:style>
  <w:style w:type="character" w:customStyle="1" w:styleId="81">
    <w:name w:val="fontstyle21"/>
    <w:basedOn w:val="42"/>
    <w:autoRedefine/>
    <w:qFormat/>
    <w:uiPriority w:val="0"/>
    <w:rPr>
      <w:rFonts w:hint="default" w:ascii="Wingdings-Regular" w:hAnsi="Wingdings-Regular"/>
      <w:color w:val="000000"/>
      <w:sz w:val="22"/>
      <w:szCs w:val="22"/>
    </w:rPr>
  </w:style>
  <w:style w:type="character" w:customStyle="1" w:styleId="82">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83">
    <w:name w:val="Unresolved Mention"/>
    <w:basedOn w:val="42"/>
    <w:autoRedefine/>
    <w:semiHidden/>
    <w:unhideWhenUsed/>
    <w:qFormat/>
    <w:uiPriority w:val="99"/>
    <w:rPr>
      <w:color w:val="605E5C"/>
      <w:shd w:val="clear" w:color="auto" w:fill="E1DFDD"/>
    </w:rPr>
  </w:style>
  <w:style w:type="character" w:customStyle="1" w:styleId="84">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85">
    <w:name w:val="正文缩进 字符"/>
    <w:link w:val="13"/>
    <w:autoRedefine/>
    <w:qFormat/>
    <w:uiPriority w:val="0"/>
    <w:rPr>
      <w:rFonts w:ascii="宋体"/>
      <w:sz w:val="24"/>
    </w:rPr>
  </w:style>
  <w:style w:type="character" w:customStyle="1" w:styleId="86">
    <w:name w:val="正文文本 字符"/>
    <w:basedOn w:val="42"/>
    <w:link w:val="19"/>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4"/>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9"/>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24">
    <w:name w:val="纯文本 字符"/>
    <w:basedOn w:val="42"/>
    <w:link w:val="23"/>
    <w:autoRedefine/>
    <w:qFormat/>
    <w:uiPriority w:val="0"/>
    <w:rPr>
      <w:rFonts w:ascii="宋体" w:hAnsi="Courier New" w:eastAsia="宋体" w:cs="Times New Roman"/>
      <w:kern w:val="0"/>
      <w:szCs w:val="20"/>
    </w:rPr>
  </w:style>
  <w:style w:type="character" w:customStyle="1" w:styleId="125">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26">
    <w:name w:val="font41"/>
    <w:basedOn w:val="42"/>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2"/>
    <w:autoRedefine/>
    <w:qFormat/>
    <w:uiPriority w:val="0"/>
    <w:rPr>
      <w:rFonts w:hint="eastAsia" w:ascii="宋体" w:hAnsi="宋体" w:eastAsia="宋体"/>
      <w:b/>
      <w:color w:val="000000"/>
      <w:kern w:val="2"/>
      <w:sz w:val="18"/>
      <w:u w:val="none"/>
    </w:rPr>
  </w:style>
  <w:style w:type="paragraph" w:customStyle="1" w:styleId="130">
    <w:name w:val="模板普通正文"/>
    <w:basedOn w:val="15"/>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2"/>
    <w:qFormat/>
    <w:uiPriority w:val="0"/>
  </w:style>
  <w:style w:type="character" w:customStyle="1" w:styleId="142">
    <w:name w:val="layui-layer-tabnow"/>
    <w:basedOn w:val="42"/>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82</Words>
  <Characters>98</Characters>
  <Lines>29</Lines>
  <Paragraphs>8</Paragraphs>
  <TotalTime>14</TotalTime>
  <ScaleCrop>false</ScaleCrop>
  <LinksUpToDate>false</LinksUpToDate>
  <CharactersWithSpaces>143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2025-06-17T08:09:00Z</cp:lastPrinted>
  <dcterms:modified xsi:type="dcterms:W3CDTF">2025-06-24T08:03:35Z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88752E8BB9E64E3CA42C54F9CEFDF9EA_13</vt:lpwstr>
  </property>
  <property fmtid="{D5CDD505-2E9C-101B-9397-08002B2CF9AE}" pid="4" name="KSOTemplateDocerSaveRecord">
    <vt:lpwstr>eyJoZGlkIjoiNDFjNjc4MzM2NGNhOTY1ZjQ2ZmNmMWE4MmVlYzQxYjkiLCJ1c2VySWQiOiIzMDI1ODcyMjYifQ==</vt:lpwstr>
  </property>
</Properties>
</file>