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3A8D0B">
      <w:pPr>
        <w:pStyle w:val="5"/>
        <w:ind w:left="0" w:leftChars="0" w:firstLine="0" w:firstLineChars="0"/>
      </w:pPr>
    </w:p>
    <w:p w14:paraId="71EAB638">
      <w:pPr>
        <w:spacing w:line="360" w:lineRule="auto"/>
        <w:ind w:firstLine="442" w:firstLineChars="100"/>
        <w:jc w:val="center"/>
        <w:rPr>
          <w:rFonts w:hint="default" w:ascii="宋体" w:hAnsi="宋体" w:eastAsia="宋体" w:cs="宋体"/>
          <w:b/>
          <w:color w:val="auto"/>
          <w:sz w:val="44"/>
          <w:szCs w:val="44"/>
          <w:highlight w:val="none"/>
          <w:lang w:val="en-US" w:eastAsia="zh-CN"/>
        </w:rPr>
      </w:pPr>
      <w:bookmarkStart w:id="0" w:name="OLE_LINK1"/>
      <w:r>
        <w:rPr>
          <w:rFonts w:hint="eastAsia" w:ascii="宋体" w:hAnsi="宋体" w:cs="宋体"/>
          <w:b/>
          <w:color w:val="auto"/>
          <w:sz w:val="44"/>
          <w:szCs w:val="44"/>
          <w:highlight w:val="none"/>
          <w:lang w:val="en-US" w:eastAsia="zh-CN"/>
        </w:rPr>
        <w:t>桐城师范高等专科学校体操房建设项目</w:t>
      </w:r>
      <w:bookmarkEnd w:id="0"/>
    </w:p>
    <w:p w14:paraId="012F5E32">
      <w:pPr>
        <w:pStyle w:val="47"/>
        <w:rPr>
          <w:rFonts w:hint="eastAsia"/>
          <w:color w:val="auto"/>
          <w:highlight w:val="none"/>
        </w:rPr>
      </w:pPr>
    </w:p>
    <w:p w14:paraId="16BD5BFA">
      <w:pPr>
        <w:spacing w:line="480" w:lineRule="exact"/>
        <w:rPr>
          <w:rFonts w:ascii="宋体"/>
          <w:color w:val="auto"/>
          <w:sz w:val="44"/>
          <w:szCs w:val="44"/>
          <w:highlight w:val="none"/>
        </w:rPr>
      </w:pPr>
    </w:p>
    <w:p w14:paraId="2E845CB9">
      <w:pPr>
        <w:pStyle w:val="47"/>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14:paraId="0A0C4D98">
      <w:pPr>
        <w:spacing w:line="480" w:lineRule="exact"/>
        <w:rPr>
          <w:rFonts w:ascii="仿宋_GB2312" w:hAnsi="宋体" w:eastAsia="仿宋_GB2312"/>
          <w:b/>
          <w:color w:val="auto"/>
          <w:sz w:val="44"/>
          <w:szCs w:val="44"/>
          <w:highlight w:val="none"/>
        </w:rPr>
      </w:pPr>
    </w:p>
    <w:p w14:paraId="573E3840">
      <w:pPr>
        <w:spacing w:line="480" w:lineRule="exact"/>
        <w:rPr>
          <w:rFonts w:ascii="宋体"/>
          <w:color w:val="auto"/>
          <w:sz w:val="144"/>
          <w:szCs w:val="144"/>
          <w:highlight w:val="none"/>
        </w:rPr>
      </w:pPr>
    </w:p>
    <w:p w14:paraId="3412A2E2">
      <w:pPr>
        <w:spacing w:line="480" w:lineRule="exact"/>
        <w:jc w:val="center"/>
        <w:rPr>
          <w:rFonts w:hint="eastAsia" w:ascii="宋体" w:hAnsi="宋体" w:cs="宋体"/>
          <w:b/>
          <w:bCs/>
          <w:color w:val="auto"/>
          <w:sz w:val="28"/>
          <w:szCs w:val="28"/>
          <w:highlight w:val="none"/>
        </w:rPr>
      </w:pPr>
    </w:p>
    <w:p w14:paraId="3A64AE3D">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项目编号：TCSZCG(202</w:t>
      </w:r>
      <w:r>
        <w:rPr>
          <w:rFonts w:hint="eastAsia" w:ascii="宋体" w:hAnsi="宋体" w:cs="宋体"/>
          <w:b/>
          <w:bCs/>
          <w:color w:val="auto"/>
          <w:sz w:val="28"/>
          <w:szCs w:val="28"/>
          <w:highlight w:val="none"/>
          <w:lang w:val="en-US" w:eastAsia="zh-CN"/>
        </w:rPr>
        <w:t>4</w:t>
      </w:r>
      <w:r>
        <w:rPr>
          <w:rFonts w:hint="eastAsia" w:ascii="宋体" w:hAnsi="宋体" w:cs="宋体"/>
          <w:b/>
          <w:bCs/>
          <w:color w:val="auto"/>
          <w:sz w:val="28"/>
          <w:szCs w:val="28"/>
          <w:highlight w:val="none"/>
        </w:rPr>
        <w:t xml:space="preserve">) </w:t>
      </w:r>
      <w:r>
        <w:rPr>
          <w:rFonts w:hint="eastAsia" w:ascii="宋体" w:hAnsi="宋体" w:cs="宋体"/>
          <w:b/>
          <w:bCs/>
          <w:color w:val="auto"/>
          <w:sz w:val="28"/>
          <w:szCs w:val="28"/>
          <w:highlight w:val="none"/>
          <w:lang w:val="en-US" w:eastAsia="zh-CN"/>
        </w:rPr>
        <w:t>021</w:t>
      </w:r>
      <w:r>
        <w:rPr>
          <w:rFonts w:hint="eastAsia" w:ascii="宋体" w:hAnsi="宋体" w:cs="宋体"/>
          <w:b/>
          <w:bCs/>
          <w:color w:val="auto"/>
          <w:sz w:val="28"/>
          <w:szCs w:val="28"/>
          <w:highlight w:val="none"/>
        </w:rPr>
        <w:t>号</w:t>
      </w:r>
    </w:p>
    <w:p w14:paraId="60801A24">
      <w:pPr>
        <w:spacing w:line="480" w:lineRule="exact"/>
        <w:jc w:val="center"/>
        <w:rPr>
          <w:rFonts w:ascii="宋体" w:hAnsi="宋体" w:cs="仿宋_GB2312"/>
          <w:b/>
          <w:bCs/>
          <w:color w:val="auto"/>
          <w:sz w:val="28"/>
          <w:szCs w:val="28"/>
          <w:highlight w:val="none"/>
        </w:rPr>
      </w:pPr>
    </w:p>
    <w:p w14:paraId="2B5EF3EB">
      <w:pPr>
        <w:spacing w:line="480" w:lineRule="exact"/>
        <w:rPr>
          <w:rFonts w:ascii="宋体" w:hAnsi="宋体" w:cs="仿宋_GB2312"/>
          <w:color w:val="auto"/>
          <w:szCs w:val="21"/>
          <w:highlight w:val="none"/>
        </w:rPr>
      </w:pPr>
    </w:p>
    <w:p w14:paraId="3A46A1F9">
      <w:pPr>
        <w:spacing w:line="480" w:lineRule="exact"/>
        <w:rPr>
          <w:rFonts w:ascii="宋体" w:hAnsi="宋体" w:cs="仿宋_GB2312"/>
          <w:color w:val="auto"/>
          <w:szCs w:val="21"/>
          <w:highlight w:val="none"/>
        </w:rPr>
      </w:pPr>
    </w:p>
    <w:p w14:paraId="088D46C3">
      <w:pPr>
        <w:spacing w:line="480" w:lineRule="exact"/>
        <w:rPr>
          <w:rFonts w:ascii="宋体" w:hAnsi="宋体" w:cs="仿宋_GB2312"/>
          <w:color w:val="auto"/>
          <w:szCs w:val="21"/>
          <w:highlight w:val="none"/>
        </w:rPr>
      </w:pPr>
    </w:p>
    <w:p w14:paraId="565F3C01">
      <w:pPr>
        <w:spacing w:line="360" w:lineRule="auto"/>
        <w:ind w:firstLine="596" w:firstLineChars="198"/>
        <w:rPr>
          <w:rFonts w:ascii="宋体" w:hAnsi="宋体" w:cs="仿宋_GB2312"/>
          <w:b/>
          <w:color w:val="auto"/>
          <w:szCs w:val="21"/>
          <w:highlight w:val="none"/>
        </w:rPr>
      </w:pPr>
      <w:r>
        <w:rPr>
          <w:rFonts w:hint="eastAsia" w:ascii="宋体" w:hAnsi="宋体" w:cs="仿宋_GB2312"/>
          <w:b/>
          <w:color w:val="auto"/>
          <w:sz w:val="30"/>
          <w:szCs w:val="30"/>
          <w:highlight w:val="none"/>
        </w:rPr>
        <w:t>采</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购</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人：</w:t>
      </w:r>
      <w:r>
        <w:rPr>
          <w:rFonts w:ascii="宋体" w:hAnsi="宋体" w:cs="仿宋_GB2312"/>
          <w:b/>
          <w:color w:val="auto"/>
          <w:sz w:val="30"/>
          <w:szCs w:val="30"/>
          <w:highlight w:val="none"/>
          <w:u w:val="single"/>
        </w:rPr>
        <w:t xml:space="preserve">      </w:t>
      </w:r>
      <w:r>
        <w:rPr>
          <w:rFonts w:hint="eastAsia" w:ascii="宋体" w:hAnsi="宋体" w:cs="仿宋_GB2312"/>
          <w:b/>
          <w:color w:val="auto"/>
          <w:sz w:val="30"/>
          <w:szCs w:val="30"/>
          <w:highlight w:val="none"/>
          <w:u w:val="single"/>
          <w:lang w:val="en-US" w:eastAsia="zh-CN"/>
        </w:rPr>
        <w:t xml:space="preserve">  </w:t>
      </w:r>
      <w:r>
        <w:rPr>
          <w:rFonts w:hint="eastAsia" w:ascii="仿宋" w:hAnsi="仿宋" w:eastAsia="仿宋"/>
          <w:b/>
          <w:color w:val="auto"/>
          <w:spacing w:val="20"/>
          <w:sz w:val="30"/>
          <w:szCs w:val="30"/>
          <w:highlight w:val="none"/>
          <w:u w:val="single"/>
          <w:lang w:val="en-US" w:eastAsia="zh-CN"/>
        </w:rPr>
        <w:t>桐城师范高等专科学校</w:t>
      </w:r>
      <w:r>
        <w:rPr>
          <w:rFonts w:hint="eastAsia" w:ascii="仿宋" w:hAnsi="仿宋" w:eastAsia="仿宋"/>
          <w:b/>
          <w:color w:val="auto"/>
          <w:spacing w:val="20"/>
          <w:sz w:val="30"/>
          <w:szCs w:val="30"/>
          <w:highlight w:val="none"/>
          <w:u w:val="single"/>
        </w:rPr>
        <w:t xml:space="preserve"> </w:t>
      </w:r>
      <w:r>
        <w:rPr>
          <w:rFonts w:ascii="宋体" w:hAnsi="宋体" w:cs="仿宋_GB2312"/>
          <w:b/>
          <w:color w:val="auto"/>
          <w:spacing w:val="20"/>
          <w:sz w:val="30"/>
          <w:szCs w:val="30"/>
          <w:highlight w:val="none"/>
          <w:u w:val="single"/>
        </w:rPr>
        <w:t xml:space="preserve">    </w:t>
      </w:r>
      <w:r>
        <w:rPr>
          <w:rFonts w:ascii="宋体" w:hAnsi="宋体" w:cs="仿宋_GB2312"/>
          <w:b/>
          <w:color w:val="auto"/>
          <w:sz w:val="30"/>
          <w:szCs w:val="30"/>
          <w:highlight w:val="none"/>
          <w:u w:val="single"/>
        </w:rPr>
        <w:t xml:space="preserve">  </w:t>
      </w:r>
    </w:p>
    <w:p w14:paraId="136F318C">
      <w:pPr>
        <w:spacing w:line="360" w:lineRule="auto"/>
        <w:rPr>
          <w:rFonts w:ascii="宋体" w:hAnsi="宋体" w:cs="仿宋_GB2312"/>
          <w:b/>
          <w:color w:val="auto"/>
          <w:sz w:val="24"/>
          <w:highlight w:val="none"/>
        </w:rPr>
      </w:pPr>
    </w:p>
    <w:p w14:paraId="2CB90923">
      <w:pPr>
        <w:spacing w:line="360" w:lineRule="auto"/>
        <w:rPr>
          <w:rFonts w:hint="eastAsia" w:ascii="仿宋" w:hAnsi="仿宋" w:eastAsia="仿宋" w:cs="仿宋"/>
          <w:b/>
          <w:color w:val="auto"/>
          <w:sz w:val="24"/>
          <w:highlight w:val="none"/>
        </w:rPr>
      </w:pPr>
    </w:p>
    <w:p w14:paraId="7CADB34F">
      <w:pPr>
        <w:spacing w:line="360" w:lineRule="auto"/>
        <w:ind w:firstLine="596" w:firstLineChars="198"/>
        <w:rPr>
          <w:rFonts w:hint="eastAsia" w:ascii="仿宋" w:hAnsi="仿宋" w:eastAsia="仿宋" w:cs="仿宋"/>
          <w:b/>
          <w:color w:val="auto"/>
          <w:szCs w:val="21"/>
          <w:highlight w:val="none"/>
        </w:rPr>
      </w:pPr>
      <w:r>
        <w:rPr>
          <w:rFonts w:hint="eastAsia" w:ascii="仿宋" w:hAnsi="仿宋" w:eastAsia="仿宋" w:cs="仿宋"/>
          <w:b/>
          <w:color w:val="auto"/>
          <w:sz w:val="30"/>
          <w:szCs w:val="30"/>
          <w:highlight w:val="none"/>
        </w:rPr>
        <w:t>采购</w:t>
      </w:r>
      <w:r>
        <w:rPr>
          <w:rFonts w:hint="eastAsia" w:ascii="仿宋" w:hAnsi="仿宋" w:eastAsia="仿宋" w:cs="仿宋"/>
          <w:b/>
          <w:color w:val="auto"/>
          <w:sz w:val="30"/>
          <w:szCs w:val="30"/>
          <w:highlight w:val="none"/>
          <w:lang w:val="en-US" w:eastAsia="zh-CN"/>
        </w:rPr>
        <w:t>代理</w:t>
      </w:r>
      <w:r>
        <w:rPr>
          <w:rFonts w:hint="eastAsia" w:ascii="仿宋" w:hAnsi="仿宋" w:eastAsia="仿宋" w:cs="仿宋"/>
          <w:b/>
          <w:color w:val="auto"/>
          <w:sz w:val="30"/>
          <w:szCs w:val="30"/>
          <w:highlight w:val="none"/>
        </w:rPr>
        <w:t>机构：</w:t>
      </w:r>
      <w:r>
        <w:rPr>
          <w:rFonts w:hint="eastAsia" w:ascii="仿宋" w:hAnsi="仿宋" w:eastAsia="仿宋" w:cs="仿宋"/>
          <w:b/>
          <w:color w:val="auto"/>
          <w:sz w:val="30"/>
          <w:szCs w:val="30"/>
          <w:highlight w:val="none"/>
          <w:u w:val="single"/>
        </w:rPr>
        <w:t xml:space="preserve">    </w:t>
      </w:r>
      <w:r>
        <w:rPr>
          <w:rFonts w:hint="eastAsia" w:ascii="仿宋" w:hAnsi="仿宋" w:eastAsia="仿宋" w:cs="仿宋"/>
          <w:b/>
          <w:color w:val="auto"/>
          <w:sz w:val="30"/>
          <w:szCs w:val="30"/>
          <w:highlight w:val="none"/>
          <w:u w:val="single"/>
          <w:lang w:val="en-US" w:eastAsia="zh-CN"/>
        </w:rPr>
        <w:t xml:space="preserve">  四川柯锐工程项目管理有限公司</w:t>
      </w:r>
      <w:r>
        <w:rPr>
          <w:rFonts w:hint="eastAsia" w:ascii="仿宋" w:hAnsi="仿宋" w:eastAsia="仿宋" w:cs="仿宋"/>
          <w:b/>
          <w:color w:val="auto"/>
          <w:spacing w:val="20"/>
          <w:sz w:val="30"/>
          <w:szCs w:val="30"/>
          <w:highlight w:val="none"/>
          <w:u w:val="single"/>
        </w:rPr>
        <w:t xml:space="preserve"> </w:t>
      </w:r>
      <w:r>
        <w:rPr>
          <w:rFonts w:hint="eastAsia" w:ascii="仿宋" w:hAnsi="仿宋" w:eastAsia="仿宋" w:cs="仿宋"/>
          <w:b/>
          <w:color w:val="auto"/>
          <w:spacing w:val="20"/>
          <w:sz w:val="30"/>
          <w:szCs w:val="30"/>
          <w:highlight w:val="none"/>
          <w:u w:val="single"/>
          <w:lang w:val="en-US" w:eastAsia="zh-CN"/>
        </w:rPr>
        <w:t xml:space="preserve">  </w:t>
      </w:r>
      <w:r>
        <w:rPr>
          <w:rFonts w:hint="eastAsia" w:ascii="仿宋" w:hAnsi="仿宋" w:eastAsia="仿宋" w:cs="仿宋"/>
          <w:b/>
          <w:color w:val="auto"/>
          <w:spacing w:val="20"/>
          <w:sz w:val="30"/>
          <w:szCs w:val="30"/>
          <w:highlight w:val="none"/>
          <w:u w:val="single"/>
        </w:rPr>
        <w:t xml:space="preserve"> </w:t>
      </w:r>
    </w:p>
    <w:p w14:paraId="22CD2A1D">
      <w:pPr>
        <w:spacing w:line="360" w:lineRule="auto"/>
        <w:rPr>
          <w:rFonts w:ascii="宋体" w:hAnsi="宋体" w:cs="仿宋_GB2312"/>
          <w:b/>
          <w:color w:val="auto"/>
          <w:sz w:val="24"/>
          <w:highlight w:val="none"/>
          <w:u w:val="single"/>
        </w:rPr>
      </w:pPr>
    </w:p>
    <w:p w14:paraId="3F06ABF7">
      <w:pPr>
        <w:spacing w:line="360" w:lineRule="auto"/>
        <w:rPr>
          <w:rFonts w:ascii="宋体" w:hAnsi="宋体" w:cs="仿宋_GB2312"/>
          <w:color w:val="auto"/>
          <w:sz w:val="24"/>
          <w:highlight w:val="none"/>
        </w:rPr>
      </w:pPr>
    </w:p>
    <w:p w14:paraId="4B044ED0">
      <w:pPr>
        <w:spacing w:line="360" w:lineRule="auto"/>
        <w:rPr>
          <w:rFonts w:ascii="宋体" w:hAnsi="宋体" w:cs="仿宋_GB2312"/>
          <w:b/>
          <w:color w:val="auto"/>
          <w:sz w:val="24"/>
          <w:highlight w:val="none"/>
          <w:u w:val="single"/>
        </w:rPr>
      </w:pPr>
    </w:p>
    <w:p w14:paraId="397A0260">
      <w:pPr>
        <w:spacing w:line="480" w:lineRule="exact"/>
        <w:rPr>
          <w:rFonts w:ascii="宋体" w:hAnsi="宋体" w:cs="仿宋_GB2312"/>
          <w:color w:val="auto"/>
          <w:szCs w:val="21"/>
          <w:highlight w:val="none"/>
        </w:rPr>
      </w:pPr>
    </w:p>
    <w:p w14:paraId="395EFA32">
      <w:pPr>
        <w:spacing w:line="480" w:lineRule="exact"/>
        <w:rPr>
          <w:rFonts w:ascii="宋体" w:hAnsi="宋体" w:cs="仿宋_GB2312"/>
          <w:color w:val="auto"/>
          <w:szCs w:val="21"/>
          <w:highlight w:val="none"/>
        </w:rPr>
      </w:pPr>
    </w:p>
    <w:p w14:paraId="2A14EE04">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2024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8  </w:t>
      </w:r>
      <w:r>
        <w:rPr>
          <w:rFonts w:hint="eastAsia" w:ascii="宋体" w:hAnsi="宋体" w:cs="仿宋_GB2312"/>
          <w:color w:val="auto"/>
          <w:sz w:val="32"/>
          <w:szCs w:val="32"/>
          <w:highlight w:val="none"/>
        </w:rPr>
        <w:t>月</w:t>
      </w:r>
    </w:p>
    <w:p w14:paraId="42D3256F">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黑体" w:hAnsi="黑体" w:eastAsia="黑体" w:cs="宋体"/>
          <w:b/>
          <w:color w:val="auto"/>
          <w:kern w:val="0"/>
          <w:sz w:val="32"/>
          <w:szCs w:val="32"/>
          <w:highlight w:val="none"/>
        </w:rPr>
      </w:pPr>
    </w:p>
    <w:p w14:paraId="3BEA526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黑体" w:hAnsi="黑体" w:eastAsia="黑体" w:cs="宋体"/>
          <w:b/>
          <w:color w:val="auto"/>
          <w:kern w:val="0"/>
          <w:sz w:val="32"/>
          <w:szCs w:val="32"/>
          <w:highlight w:val="none"/>
        </w:rPr>
      </w:pPr>
    </w:p>
    <w:p w14:paraId="072F1C6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黑体" w:hAnsi="黑体" w:eastAsia="黑体" w:cs="宋体"/>
          <w:b/>
          <w:color w:val="auto"/>
          <w:kern w:val="0"/>
          <w:sz w:val="32"/>
          <w:szCs w:val="32"/>
          <w:highlight w:val="none"/>
        </w:rPr>
      </w:pPr>
    </w:p>
    <w:p w14:paraId="0910BEB8">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黑体" w:hAnsi="黑体" w:eastAsia="黑体" w:cs="宋体"/>
          <w:b/>
          <w:color w:val="auto"/>
          <w:kern w:val="0"/>
          <w:sz w:val="32"/>
          <w:szCs w:val="32"/>
          <w:highlight w:val="none"/>
        </w:rPr>
      </w:pPr>
      <w:r>
        <w:rPr>
          <w:rFonts w:hint="eastAsia" w:ascii="黑体" w:hAnsi="黑体" w:eastAsia="黑体" w:cs="宋体"/>
          <w:b/>
          <w:color w:val="auto"/>
          <w:kern w:val="0"/>
          <w:sz w:val="32"/>
          <w:szCs w:val="32"/>
          <w:highlight w:val="none"/>
        </w:rPr>
        <w:t>重  要  提  醒</w:t>
      </w:r>
    </w:p>
    <w:p w14:paraId="0CD0EF50">
      <w:pPr>
        <w:pStyle w:val="48"/>
      </w:pPr>
    </w:p>
    <w:p w14:paraId="410A2A1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一、请各市场主体依法参与公共资源交易活动，如存在以下情形的，公共资源交易监管部门将其作为扫黑除恶专项斗争的打击重点予以处理。</w:t>
      </w:r>
    </w:p>
    <w:p w14:paraId="5176196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1A19696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57A9301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7DDA995F">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1652A24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14:paraId="74EAD17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14:paraId="39B9AAB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14:paraId="3E47C022">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 文件</w:t>
      </w:r>
      <w:r>
        <w:rPr>
          <w:rFonts w:hint="eastAsia" w:ascii="宋体" w:hAnsi="宋体" w:cs="宋体"/>
          <w:b/>
          <w:color w:val="auto"/>
          <w:kern w:val="0"/>
          <w:sz w:val="24"/>
          <w:highlight w:val="none"/>
        </w:rPr>
        <w:t xml:space="preserve">条款的违法违规行为。 </w:t>
      </w:r>
    </w:p>
    <w:p w14:paraId="089F8350">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14:paraId="792F2A69">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 xml:space="preserve">谈判 </w:t>
      </w:r>
      <w:r>
        <w:rPr>
          <w:rFonts w:hint="eastAsia" w:ascii="宋体" w:hAnsi="宋体" w:cs="宋体"/>
          <w:b/>
          <w:color w:val="auto"/>
          <w:kern w:val="0"/>
          <w:sz w:val="24"/>
          <w:highlight w:val="none"/>
        </w:rPr>
        <w:t xml:space="preserve">活动。 </w:t>
      </w:r>
    </w:p>
    <w:p w14:paraId="286F0EC0">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14:paraId="6B70AED8">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14:paraId="18B9691F">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1、请依据项目资格要求，自行核对营业执照合法有效。</w:t>
      </w:r>
    </w:p>
    <w:p w14:paraId="4C19352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文件要求制作响应文件，响应文件创建标识码、文件制作机器码任一项一致的将不予通过</w:t>
      </w:r>
      <w:r>
        <w:rPr>
          <w:rFonts w:hint="eastAsia" w:ascii="宋体" w:hAnsi="宋体" w:cs="宋体"/>
          <w:b/>
          <w:color w:val="auto"/>
          <w:kern w:val="0"/>
          <w:sz w:val="24"/>
          <w:szCs w:val="24"/>
          <w:highlight w:val="none"/>
          <w:lang w:val="en-US" w:eastAsia="zh-CN"/>
        </w:rPr>
        <w:t>初审</w:t>
      </w:r>
      <w:r>
        <w:rPr>
          <w:rFonts w:hint="eastAsia" w:ascii="宋体" w:hAnsi="宋体" w:cs="宋体"/>
          <w:b/>
          <w:color w:val="auto"/>
          <w:kern w:val="0"/>
          <w:sz w:val="24"/>
          <w:szCs w:val="24"/>
          <w:highlight w:val="none"/>
        </w:rPr>
        <w:t>。</w:t>
      </w:r>
    </w:p>
    <w:p w14:paraId="65B8899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3、对</w:t>
      </w:r>
      <w:r>
        <w:rPr>
          <w:rFonts w:hint="eastAsia" w:ascii="宋体" w:hAnsi="宋体" w:cs="宋体"/>
          <w:b/>
          <w:color w:val="auto"/>
          <w:kern w:val="0"/>
          <w:sz w:val="24"/>
          <w:szCs w:val="24"/>
          <w:highlight w:val="none"/>
          <w:lang w:val="en-US" w:eastAsia="zh-CN"/>
        </w:rPr>
        <w:t>谈判</w:t>
      </w:r>
      <w:r>
        <w:rPr>
          <w:rFonts w:hint="eastAsia" w:ascii="宋体" w:hAnsi="宋体" w:cs="宋体"/>
          <w:b/>
          <w:color w:val="auto"/>
          <w:kern w:val="0"/>
          <w:sz w:val="24"/>
          <w:szCs w:val="24"/>
          <w:highlight w:val="none"/>
        </w:rPr>
        <w:t>活动中可能发生的质疑、投诉行为，须依法在规定的时间内提出。</w:t>
      </w:r>
      <w:r>
        <w:rPr>
          <w:rFonts w:ascii="宋体" w:hAnsi="宋体" w:cs="宋体"/>
          <w:b/>
          <w:color w:val="auto"/>
          <w:kern w:val="0"/>
          <w:sz w:val="24"/>
          <w:szCs w:val="24"/>
          <w:highlight w:val="none"/>
        </w:rPr>
        <w:t xml:space="preserve">  </w:t>
      </w:r>
    </w:p>
    <w:p w14:paraId="29A71C63">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4、本项目</w:t>
      </w:r>
      <w:r>
        <w:rPr>
          <w:rFonts w:hint="eastAsia" w:ascii="宋体" w:hAnsi="宋体" w:cs="宋体"/>
          <w:b/>
          <w:color w:val="auto"/>
          <w:kern w:val="0"/>
          <w:sz w:val="24"/>
          <w:szCs w:val="24"/>
          <w:highlight w:val="none"/>
          <w:lang w:eastAsia="zh-CN"/>
        </w:rPr>
        <w:t>谈判</w:t>
      </w:r>
      <w:r>
        <w:rPr>
          <w:rFonts w:hint="eastAsia" w:ascii="宋体" w:hAnsi="宋体" w:cs="宋体"/>
          <w:b/>
          <w:color w:val="auto"/>
          <w:kern w:val="0"/>
          <w:sz w:val="24"/>
          <w:szCs w:val="24"/>
          <w:highlight w:val="none"/>
        </w:rPr>
        <w:t>期间，供应商必须保证联系电话、电子邮箱通畅，因供应商通讯不畅造成的不利后果由供应商自行承担。</w:t>
      </w:r>
    </w:p>
    <w:p w14:paraId="31037FE9">
      <w:pPr>
        <w:widowControl/>
        <w:jc w:val="left"/>
        <w:rPr>
          <w:rFonts w:ascii="宋体" w:hAnsi="宋体" w:cs="宋体"/>
          <w:b/>
          <w:color w:val="auto"/>
          <w:sz w:val="36"/>
          <w:szCs w:val="36"/>
          <w:highlight w:val="none"/>
          <w:lang w:val="zh-CN"/>
        </w:rPr>
      </w:pPr>
      <w:r>
        <w:rPr>
          <w:rFonts w:ascii="宋体" w:hAnsi="宋体" w:cs="宋体"/>
          <w:b/>
          <w:color w:val="auto"/>
          <w:sz w:val="36"/>
          <w:szCs w:val="36"/>
          <w:highlight w:val="none"/>
          <w:lang w:val="zh-CN"/>
        </w:rPr>
        <w:br w:type="page"/>
      </w:r>
    </w:p>
    <w:p w14:paraId="7A426B6C">
      <w:pPr>
        <w:spacing w:line="480" w:lineRule="exact"/>
        <w:jc w:val="center"/>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14:paraId="22B6B89C">
      <w:pPr>
        <w:pStyle w:val="47"/>
        <w:rPr>
          <w:color w:val="auto"/>
          <w:highlight w:val="none"/>
          <w:lang w:val="zh-CN"/>
        </w:rPr>
      </w:pPr>
    </w:p>
    <w:p w14:paraId="6F456B90">
      <w:pPr>
        <w:pStyle w:val="29"/>
        <w:tabs>
          <w:tab w:val="right" w:leader="dot" w:pos="9070"/>
        </w:tabs>
        <w:spacing w:line="360" w:lineRule="auto"/>
        <w:rPr>
          <w:color w:val="auto"/>
          <w:highlight w:val="none"/>
        </w:rPr>
      </w:pPr>
      <w:bookmarkStart w:id="1" w:name="_Toc21464"/>
      <w:bookmarkStart w:id="2" w:name="_Toc54941328"/>
      <w:bookmarkStart w:id="3" w:name="_Toc23467"/>
      <w:bookmarkStart w:id="4" w:name="_Toc439316870"/>
      <w:r>
        <w:rPr>
          <w:color w:val="auto"/>
          <w:sz w:val="28"/>
          <w:szCs w:val="28"/>
          <w:highlight w:val="none"/>
        </w:rPr>
        <w:fldChar w:fldCharType="begin"/>
      </w:r>
      <w:r>
        <w:rPr>
          <w:color w:val="auto"/>
          <w:sz w:val="28"/>
          <w:szCs w:val="28"/>
          <w:highlight w:val="none"/>
        </w:rPr>
        <w:instrText xml:space="preserve">TOC \o "1-1" \h \u </w:instrText>
      </w:r>
      <w:r>
        <w:rPr>
          <w:color w:val="auto"/>
          <w:sz w:val="28"/>
          <w:szCs w:val="28"/>
          <w:highlight w:val="none"/>
        </w:rPr>
        <w:fldChar w:fldCharType="separate"/>
      </w:r>
      <w:r>
        <w:rPr>
          <w:color w:val="auto"/>
          <w:szCs w:val="28"/>
          <w:highlight w:val="none"/>
        </w:rPr>
        <w:fldChar w:fldCharType="begin"/>
      </w:r>
      <w:r>
        <w:rPr>
          <w:color w:val="auto"/>
          <w:szCs w:val="28"/>
          <w:highlight w:val="none"/>
        </w:rPr>
        <w:instrText xml:space="preserve"> HYPERLINK \l _Toc7432 </w:instrText>
      </w:r>
      <w:r>
        <w:rPr>
          <w:color w:val="auto"/>
          <w:szCs w:val="28"/>
          <w:highlight w:val="none"/>
        </w:rPr>
        <w:fldChar w:fldCharType="separate"/>
      </w:r>
      <w:r>
        <w:rPr>
          <w:rFonts w:hint="eastAsia"/>
          <w:bCs/>
          <w:i w:val="0"/>
          <w:iCs/>
          <w:color w:val="auto"/>
          <w:szCs w:val="32"/>
          <w:highlight w:val="none"/>
        </w:rPr>
        <w:t>第一章</w:t>
      </w:r>
      <w:r>
        <w:rPr>
          <w:bCs/>
          <w:i w:val="0"/>
          <w:iCs/>
          <w:color w:val="auto"/>
          <w:szCs w:val="32"/>
          <w:highlight w:val="none"/>
        </w:rPr>
        <w:t xml:space="preserve">  </w:t>
      </w:r>
      <w:r>
        <w:rPr>
          <w:rFonts w:hint="eastAsia"/>
          <w:bCs/>
          <w:i w:val="0"/>
          <w:iCs/>
          <w:color w:val="auto"/>
          <w:szCs w:val="32"/>
          <w:highlight w:val="none"/>
          <w:lang w:val="en-US" w:eastAsia="zh-CN"/>
        </w:rPr>
        <w:t>谈判</w:t>
      </w:r>
      <w:r>
        <w:rPr>
          <w:rFonts w:hint="eastAsia"/>
          <w:bCs/>
          <w:i w:val="0"/>
          <w:iCs/>
          <w:color w:val="auto"/>
          <w:szCs w:val="32"/>
          <w:highlight w:val="none"/>
        </w:rPr>
        <w:t>公告</w:t>
      </w:r>
      <w:r>
        <w:rPr>
          <w:color w:val="auto"/>
          <w:highlight w:val="none"/>
        </w:rPr>
        <w:tab/>
      </w:r>
      <w:r>
        <w:rPr>
          <w:color w:val="auto"/>
          <w:highlight w:val="none"/>
        </w:rPr>
        <w:fldChar w:fldCharType="begin"/>
      </w:r>
      <w:r>
        <w:rPr>
          <w:color w:val="auto"/>
          <w:highlight w:val="none"/>
        </w:rPr>
        <w:instrText xml:space="preserve"> PAGEREF _Toc7432 \h </w:instrText>
      </w:r>
      <w:r>
        <w:rPr>
          <w:color w:val="auto"/>
          <w:highlight w:val="none"/>
        </w:rPr>
        <w:fldChar w:fldCharType="separate"/>
      </w:r>
      <w:r>
        <w:rPr>
          <w:color w:val="auto"/>
          <w:highlight w:val="none"/>
        </w:rPr>
        <w:t>3</w:t>
      </w:r>
      <w:r>
        <w:rPr>
          <w:color w:val="auto"/>
          <w:highlight w:val="none"/>
        </w:rPr>
        <w:fldChar w:fldCharType="end"/>
      </w:r>
      <w:r>
        <w:rPr>
          <w:color w:val="auto"/>
          <w:szCs w:val="28"/>
          <w:highlight w:val="none"/>
        </w:rPr>
        <w:fldChar w:fldCharType="end"/>
      </w:r>
    </w:p>
    <w:p w14:paraId="25820FA5">
      <w:pPr>
        <w:pStyle w:val="29"/>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_Toc11266 </w:instrText>
      </w:r>
      <w:r>
        <w:rPr>
          <w:color w:val="auto"/>
          <w:szCs w:val="28"/>
          <w:highlight w:val="none"/>
        </w:rPr>
        <w:fldChar w:fldCharType="separate"/>
      </w:r>
      <w:r>
        <w:rPr>
          <w:rFonts w:hint="eastAsia" w:ascii="Arial" w:hAnsi="Arial"/>
          <w:color w:val="auto"/>
          <w:kern w:val="2"/>
          <w:szCs w:val="32"/>
          <w:highlight w:val="none"/>
        </w:rPr>
        <w:t>第二章</w:t>
      </w:r>
      <w:r>
        <w:rPr>
          <w:rFonts w:ascii="Arial" w:hAnsi="Arial"/>
          <w:color w:val="auto"/>
          <w:kern w:val="2"/>
          <w:szCs w:val="32"/>
          <w:highlight w:val="none"/>
        </w:rPr>
        <w:t xml:space="preserve">  </w:t>
      </w:r>
      <w:r>
        <w:rPr>
          <w:rFonts w:hint="eastAsia" w:ascii="Arial" w:hAnsi="Arial"/>
          <w:color w:val="auto"/>
          <w:kern w:val="2"/>
          <w:szCs w:val="32"/>
          <w:highlight w:val="none"/>
          <w:lang w:val="en-US" w:eastAsia="zh-CN"/>
        </w:rPr>
        <w:t>竞争性谈判</w:t>
      </w:r>
      <w:r>
        <w:rPr>
          <w:rFonts w:hint="eastAsia" w:ascii="Arial" w:hAnsi="Arial"/>
          <w:color w:val="auto"/>
          <w:kern w:val="2"/>
          <w:szCs w:val="32"/>
          <w:highlight w:val="none"/>
        </w:rPr>
        <w:t>须知</w:t>
      </w:r>
      <w:r>
        <w:rPr>
          <w:color w:val="auto"/>
          <w:highlight w:val="none"/>
        </w:rPr>
        <w:tab/>
      </w:r>
      <w:r>
        <w:rPr>
          <w:color w:val="auto"/>
          <w:highlight w:val="none"/>
        </w:rPr>
        <w:fldChar w:fldCharType="begin"/>
      </w:r>
      <w:r>
        <w:rPr>
          <w:color w:val="auto"/>
          <w:highlight w:val="none"/>
        </w:rPr>
        <w:instrText xml:space="preserve"> PAGEREF _Toc11266 \h </w:instrText>
      </w:r>
      <w:r>
        <w:rPr>
          <w:color w:val="auto"/>
          <w:highlight w:val="none"/>
        </w:rPr>
        <w:fldChar w:fldCharType="separate"/>
      </w:r>
      <w:r>
        <w:rPr>
          <w:color w:val="auto"/>
          <w:highlight w:val="none"/>
        </w:rPr>
        <w:t>5</w:t>
      </w:r>
      <w:r>
        <w:rPr>
          <w:color w:val="auto"/>
          <w:highlight w:val="none"/>
        </w:rPr>
        <w:fldChar w:fldCharType="end"/>
      </w:r>
      <w:r>
        <w:rPr>
          <w:color w:val="auto"/>
          <w:szCs w:val="28"/>
          <w:highlight w:val="none"/>
        </w:rPr>
        <w:fldChar w:fldCharType="end"/>
      </w:r>
    </w:p>
    <w:p w14:paraId="4473F23C">
      <w:pPr>
        <w:pStyle w:val="29"/>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_Toc12353 </w:instrText>
      </w:r>
      <w:r>
        <w:rPr>
          <w:color w:val="auto"/>
          <w:szCs w:val="28"/>
          <w:highlight w:val="none"/>
        </w:rPr>
        <w:fldChar w:fldCharType="separate"/>
      </w:r>
      <w:r>
        <w:rPr>
          <w:rFonts w:hint="eastAsia" w:ascii="Arial" w:hAnsi="Arial"/>
          <w:bCs/>
          <w:color w:val="auto"/>
          <w:kern w:val="2"/>
          <w:szCs w:val="32"/>
          <w:highlight w:val="none"/>
          <w:lang w:val="en-US" w:eastAsia="zh-CN"/>
        </w:rPr>
        <w:t xml:space="preserve">第三章 </w:t>
      </w:r>
      <w:r>
        <w:rPr>
          <w:rFonts w:hint="eastAsia" w:ascii="Arial" w:hAnsi="Arial"/>
          <w:color w:val="auto"/>
          <w:kern w:val="2"/>
          <w:szCs w:val="32"/>
          <w:highlight w:val="none"/>
          <w:lang w:val="en-US" w:eastAsia="zh-CN"/>
        </w:rPr>
        <w:t xml:space="preserve"> </w:t>
      </w:r>
      <w:r>
        <w:rPr>
          <w:rFonts w:hint="eastAsia" w:ascii="宋体" w:hAnsi="宋体" w:cs="宋体"/>
          <w:bCs w:val="0"/>
          <w:color w:val="auto"/>
          <w:szCs w:val="30"/>
          <w:highlight w:val="none"/>
          <w:lang w:val="en-US" w:eastAsia="zh-CN"/>
        </w:rPr>
        <w:t>采购需求</w:t>
      </w:r>
      <w:r>
        <w:rPr>
          <w:color w:val="auto"/>
          <w:highlight w:val="none"/>
        </w:rPr>
        <w:tab/>
      </w:r>
      <w:r>
        <w:rPr>
          <w:color w:val="auto"/>
          <w:highlight w:val="none"/>
        </w:rPr>
        <w:fldChar w:fldCharType="begin"/>
      </w:r>
      <w:r>
        <w:rPr>
          <w:color w:val="auto"/>
          <w:highlight w:val="none"/>
        </w:rPr>
        <w:instrText xml:space="preserve"> PAGEREF _Toc12353 \h </w:instrText>
      </w:r>
      <w:r>
        <w:rPr>
          <w:color w:val="auto"/>
          <w:highlight w:val="none"/>
        </w:rPr>
        <w:fldChar w:fldCharType="separate"/>
      </w:r>
      <w:r>
        <w:rPr>
          <w:color w:val="auto"/>
          <w:highlight w:val="none"/>
        </w:rPr>
        <w:t>14</w:t>
      </w:r>
      <w:r>
        <w:rPr>
          <w:color w:val="auto"/>
          <w:highlight w:val="none"/>
        </w:rPr>
        <w:fldChar w:fldCharType="end"/>
      </w:r>
      <w:r>
        <w:rPr>
          <w:color w:val="auto"/>
          <w:szCs w:val="28"/>
          <w:highlight w:val="none"/>
        </w:rPr>
        <w:fldChar w:fldCharType="end"/>
      </w:r>
    </w:p>
    <w:p w14:paraId="4DE78E20">
      <w:pPr>
        <w:pStyle w:val="29"/>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_Toc16371 </w:instrText>
      </w:r>
      <w:r>
        <w:rPr>
          <w:color w:val="auto"/>
          <w:szCs w:val="28"/>
          <w:highlight w:val="none"/>
        </w:rPr>
        <w:fldChar w:fldCharType="separate"/>
      </w:r>
      <w:r>
        <w:rPr>
          <w:rFonts w:hint="eastAsia" w:ascii="Arial" w:hAnsi="Arial"/>
          <w:color w:val="auto"/>
          <w:kern w:val="2"/>
          <w:szCs w:val="32"/>
          <w:highlight w:val="none"/>
          <w:lang w:val="en-US" w:eastAsia="zh-CN"/>
        </w:rPr>
        <w:t>第四章  评</w:t>
      </w:r>
      <w:r>
        <w:rPr>
          <w:rFonts w:hint="eastAsia" w:ascii="Arial" w:hAnsi="Arial"/>
          <w:strike w:val="0"/>
          <w:dstrike w:val="0"/>
          <w:color w:val="auto"/>
          <w:kern w:val="2"/>
          <w:szCs w:val="32"/>
          <w:highlight w:val="none"/>
          <w:lang w:val="en-US" w:eastAsia="zh-CN"/>
        </w:rPr>
        <w:t>审方</w:t>
      </w:r>
      <w:r>
        <w:rPr>
          <w:rFonts w:hint="eastAsia" w:ascii="Arial" w:hAnsi="Arial"/>
          <w:color w:val="auto"/>
          <w:kern w:val="2"/>
          <w:szCs w:val="32"/>
          <w:highlight w:val="none"/>
          <w:lang w:val="en-US" w:eastAsia="zh-CN"/>
        </w:rPr>
        <w:t>法与标准</w:t>
      </w:r>
      <w:r>
        <w:rPr>
          <w:color w:val="auto"/>
          <w:highlight w:val="none"/>
        </w:rPr>
        <w:tab/>
      </w:r>
      <w:r>
        <w:rPr>
          <w:color w:val="auto"/>
          <w:highlight w:val="none"/>
        </w:rPr>
        <w:fldChar w:fldCharType="begin"/>
      </w:r>
      <w:r>
        <w:rPr>
          <w:color w:val="auto"/>
          <w:highlight w:val="none"/>
        </w:rPr>
        <w:instrText xml:space="preserve"> PAGEREF _Toc16371 \h </w:instrText>
      </w:r>
      <w:r>
        <w:rPr>
          <w:color w:val="auto"/>
          <w:highlight w:val="none"/>
        </w:rPr>
        <w:fldChar w:fldCharType="separate"/>
      </w:r>
      <w:r>
        <w:rPr>
          <w:color w:val="auto"/>
          <w:highlight w:val="none"/>
        </w:rPr>
        <w:t>14</w:t>
      </w:r>
      <w:r>
        <w:rPr>
          <w:color w:val="auto"/>
          <w:highlight w:val="none"/>
        </w:rPr>
        <w:fldChar w:fldCharType="end"/>
      </w:r>
      <w:r>
        <w:rPr>
          <w:color w:val="auto"/>
          <w:szCs w:val="28"/>
          <w:highlight w:val="none"/>
        </w:rPr>
        <w:fldChar w:fldCharType="end"/>
      </w:r>
    </w:p>
    <w:p w14:paraId="7143EA37">
      <w:pPr>
        <w:pStyle w:val="29"/>
        <w:tabs>
          <w:tab w:val="right" w:leader="dot" w:pos="9070"/>
        </w:tabs>
        <w:spacing w:line="360" w:lineRule="auto"/>
        <w:rPr>
          <w:rFonts w:hint="eastAsia" w:eastAsia="宋体"/>
          <w:color w:val="auto"/>
          <w:highlight w:val="none"/>
          <w:lang w:val="en-US" w:eastAsia="zh-CN"/>
        </w:rPr>
      </w:pPr>
      <w:r>
        <w:rPr>
          <w:color w:val="auto"/>
          <w:szCs w:val="28"/>
          <w:highlight w:val="none"/>
        </w:rPr>
        <w:fldChar w:fldCharType="begin"/>
      </w:r>
      <w:r>
        <w:rPr>
          <w:color w:val="auto"/>
          <w:szCs w:val="28"/>
          <w:highlight w:val="none"/>
        </w:rPr>
        <w:instrText xml:space="preserve"> HYPERLINK \l _Toc27586 </w:instrText>
      </w:r>
      <w:r>
        <w:rPr>
          <w:color w:val="auto"/>
          <w:szCs w:val="28"/>
          <w:highlight w:val="none"/>
        </w:rPr>
        <w:fldChar w:fldCharType="separate"/>
      </w:r>
      <w:r>
        <w:rPr>
          <w:rFonts w:hint="eastAsia"/>
          <w:color w:val="auto"/>
          <w:highlight w:val="none"/>
          <w:lang w:val="en-US" w:eastAsia="zh-CN"/>
        </w:rPr>
        <w:t xml:space="preserve">第五章  </w:t>
      </w:r>
      <w:r>
        <w:rPr>
          <w:rFonts w:hint="eastAsia"/>
          <w:color w:val="auto"/>
          <w:highlight w:val="none"/>
        </w:rPr>
        <w:t>政府采购合同主要条款</w:t>
      </w:r>
      <w:r>
        <w:rPr>
          <w:color w:val="auto"/>
          <w:highlight w:val="none"/>
        </w:rPr>
        <w:tab/>
      </w:r>
      <w:r>
        <w:rPr>
          <w:rFonts w:hint="eastAsia"/>
          <w:color w:val="auto"/>
          <w:highlight w:val="none"/>
          <w:lang w:val="en-US" w:eastAsia="zh-CN"/>
        </w:rPr>
        <w:t>3</w:t>
      </w:r>
      <w:r>
        <w:rPr>
          <w:color w:val="auto"/>
          <w:szCs w:val="28"/>
          <w:highlight w:val="none"/>
        </w:rPr>
        <w:fldChar w:fldCharType="end"/>
      </w:r>
      <w:r>
        <w:rPr>
          <w:rFonts w:hint="eastAsia"/>
          <w:color w:val="auto"/>
          <w:szCs w:val="28"/>
          <w:highlight w:val="none"/>
          <w:lang w:val="en-US" w:eastAsia="zh-CN"/>
        </w:rPr>
        <w:t>0</w:t>
      </w:r>
    </w:p>
    <w:p w14:paraId="1B92A2FD">
      <w:pPr>
        <w:pStyle w:val="29"/>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_Toc1812 </w:instrText>
      </w:r>
      <w:r>
        <w:rPr>
          <w:color w:val="auto"/>
          <w:szCs w:val="28"/>
          <w:highlight w:val="none"/>
        </w:rPr>
        <w:fldChar w:fldCharType="separate"/>
      </w:r>
      <w:r>
        <w:rPr>
          <w:rFonts w:hint="eastAsia" w:ascii="Arial" w:hAnsi="Arial"/>
          <w:color w:val="auto"/>
          <w:kern w:val="2"/>
          <w:szCs w:val="36"/>
          <w:highlight w:val="none"/>
          <w:lang w:val="zh-CN"/>
        </w:rPr>
        <w:t>第</w:t>
      </w:r>
      <w:r>
        <w:rPr>
          <w:rFonts w:hint="eastAsia" w:ascii="Arial" w:hAnsi="Arial"/>
          <w:color w:val="auto"/>
          <w:kern w:val="2"/>
          <w:szCs w:val="36"/>
          <w:highlight w:val="none"/>
          <w:lang w:val="en-US" w:eastAsia="zh-CN"/>
        </w:rPr>
        <w:t>六</w:t>
      </w:r>
      <w:r>
        <w:rPr>
          <w:rFonts w:hint="eastAsia" w:ascii="Arial" w:hAnsi="Arial"/>
          <w:color w:val="auto"/>
          <w:kern w:val="2"/>
          <w:szCs w:val="36"/>
          <w:highlight w:val="none"/>
          <w:lang w:val="zh-CN"/>
        </w:rPr>
        <w:t>章</w:t>
      </w:r>
      <w:r>
        <w:rPr>
          <w:rFonts w:ascii="Arial" w:hAnsi="Arial"/>
          <w:color w:val="auto"/>
          <w:kern w:val="2"/>
          <w:szCs w:val="36"/>
          <w:highlight w:val="none"/>
          <w:lang w:val="zh-CN"/>
        </w:rPr>
        <w:t xml:space="preserve">  </w:t>
      </w:r>
      <w:r>
        <w:rPr>
          <w:rFonts w:hint="eastAsia" w:ascii="Arial" w:hAnsi="Arial"/>
          <w:color w:val="auto"/>
          <w:kern w:val="2"/>
          <w:szCs w:val="36"/>
          <w:highlight w:val="none"/>
        </w:rPr>
        <w:t>响应文件格式</w:t>
      </w:r>
      <w:r>
        <w:rPr>
          <w:color w:val="auto"/>
          <w:highlight w:val="none"/>
        </w:rPr>
        <w:tab/>
      </w:r>
      <w:r>
        <w:rPr>
          <w:color w:val="auto"/>
          <w:highlight w:val="none"/>
        </w:rPr>
        <w:fldChar w:fldCharType="begin"/>
      </w:r>
      <w:r>
        <w:rPr>
          <w:color w:val="auto"/>
          <w:highlight w:val="none"/>
        </w:rPr>
        <w:instrText xml:space="preserve"> PAGEREF _Toc1812 \h </w:instrText>
      </w:r>
      <w:r>
        <w:rPr>
          <w:color w:val="auto"/>
          <w:highlight w:val="none"/>
        </w:rPr>
        <w:fldChar w:fldCharType="separate"/>
      </w:r>
      <w:r>
        <w:rPr>
          <w:color w:val="auto"/>
          <w:highlight w:val="none"/>
        </w:rPr>
        <w:t>30</w:t>
      </w:r>
      <w:r>
        <w:rPr>
          <w:color w:val="auto"/>
          <w:highlight w:val="none"/>
        </w:rPr>
        <w:fldChar w:fldCharType="end"/>
      </w:r>
      <w:r>
        <w:rPr>
          <w:color w:val="auto"/>
          <w:szCs w:val="28"/>
          <w:highlight w:val="none"/>
        </w:rPr>
        <w:fldChar w:fldCharType="end"/>
      </w:r>
    </w:p>
    <w:p w14:paraId="78B5310B">
      <w:pPr>
        <w:pStyle w:val="29"/>
        <w:tabs>
          <w:tab w:val="right" w:leader="dot" w:pos="9070"/>
        </w:tabs>
        <w:spacing w:line="360" w:lineRule="auto"/>
        <w:rPr>
          <w:color w:val="auto"/>
          <w:highlight w:val="none"/>
        </w:rPr>
      </w:pPr>
      <w:r>
        <w:rPr>
          <w:color w:val="auto"/>
          <w:szCs w:val="28"/>
          <w:highlight w:val="none"/>
        </w:rPr>
        <w:fldChar w:fldCharType="begin"/>
      </w:r>
      <w:r>
        <w:rPr>
          <w:color w:val="auto"/>
          <w:szCs w:val="28"/>
          <w:highlight w:val="none"/>
        </w:rPr>
        <w:instrText xml:space="preserve"> HYPERLINK \l _Toc2700 </w:instrText>
      </w:r>
      <w:r>
        <w:rPr>
          <w:color w:val="auto"/>
          <w:szCs w:val="28"/>
          <w:highlight w:val="none"/>
        </w:rPr>
        <w:fldChar w:fldCharType="separate"/>
      </w:r>
      <w:r>
        <w:rPr>
          <w:rFonts w:hint="eastAsia"/>
          <w:color w:val="auto"/>
          <w:highlight w:val="none"/>
          <w:lang w:val="en-US" w:eastAsia="zh-CN"/>
        </w:rPr>
        <w:t xml:space="preserve">第七章  </w:t>
      </w:r>
      <w:r>
        <w:rPr>
          <w:rFonts w:hint="eastAsia"/>
          <w:color w:val="auto"/>
          <w:highlight w:val="none"/>
        </w:rPr>
        <w:t>政府采购供应商质疑函范本</w:t>
      </w:r>
      <w:r>
        <w:rPr>
          <w:color w:val="auto"/>
          <w:highlight w:val="none"/>
        </w:rPr>
        <w:tab/>
      </w:r>
      <w:r>
        <w:rPr>
          <w:color w:val="auto"/>
          <w:highlight w:val="none"/>
        </w:rPr>
        <w:fldChar w:fldCharType="begin"/>
      </w:r>
      <w:r>
        <w:rPr>
          <w:color w:val="auto"/>
          <w:highlight w:val="none"/>
        </w:rPr>
        <w:instrText xml:space="preserve"> PAGEREF _Toc2700 \h </w:instrText>
      </w:r>
      <w:r>
        <w:rPr>
          <w:color w:val="auto"/>
          <w:highlight w:val="none"/>
        </w:rPr>
        <w:fldChar w:fldCharType="separate"/>
      </w:r>
      <w:r>
        <w:rPr>
          <w:color w:val="auto"/>
          <w:highlight w:val="none"/>
        </w:rPr>
        <w:t>45</w:t>
      </w:r>
      <w:r>
        <w:rPr>
          <w:color w:val="auto"/>
          <w:highlight w:val="none"/>
        </w:rPr>
        <w:fldChar w:fldCharType="end"/>
      </w:r>
      <w:r>
        <w:rPr>
          <w:color w:val="auto"/>
          <w:szCs w:val="28"/>
          <w:highlight w:val="none"/>
        </w:rPr>
        <w:fldChar w:fldCharType="end"/>
      </w:r>
    </w:p>
    <w:p w14:paraId="2C52EA40">
      <w:pPr>
        <w:pStyle w:val="21"/>
        <w:tabs>
          <w:tab w:val="right" w:leader="dot" w:pos="9060"/>
        </w:tabs>
        <w:spacing w:line="360" w:lineRule="auto"/>
        <w:rPr>
          <w:color w:val="auto"/>
          <w:szCs w:val="21"/>
          <w:highlight w:val="none"/>
        </w:rPr>
        <w:sectPr>
          <w:footerReference r:id="rId5" w:type="default"/>
          <w:pgSz w:w="11906" w:h="16838"/>
          <w:pgMar w:top="1418" w:right="1418" w:bottom="1418" w:left="1418" w:header="851" w:footer="680" w:gutter="0"/>
          <w:pgNumType w:fmt="decimal" w:start="1"/>
          <w:cols w:space="720" w:num="1"/>
          <w:docGrid w:linePitch="290" w:charSpace="0"/>
        </w:sectPr>
      </w:pPr>
      <w:r>
        <w:rPr>
          <w:color w:val="auto"/>
          <w:szCs w:val="28"/>
          <w:highlight w:val="none"/>
        </w:rPr>
        <w:fldChar w:fldCharType="end"/>
      </w:r>
    </w:p>
    <w:p w14:paraId="35D3DCA8">
      <w:pPr>
        <w:pStyle w:val="21"/>
        <w:tabs>
          <w:tab w:val="right" w:leader="dot" w:pos="9060"/>
        </w:tabs>
        <w:spacing w:line="360" w:lineRule="auto"/>
        <w:jc w:val="center"/>
        <w:outlineLvl w:val="0"/>
        <w:rPr>
          <w:rFonts w:hint="eastAsia" w:ascii="Arial" w:hAnsi="Arial" w:eastAsia="宋体"/>
          <w:b/>
          <w:bCs/>
          <w:i w:val="0"/>
          <w:iCs/>
          <w:color w:val="auto"/>
          <w:sz w:val="32"/>
          <w:szCs w:val="32"/>
          <w:highlight w:val="none"/>
          <w:lang w:eastAsia="zh-CN"/>
        </w:rPr>
      </w:pPr>
      <w:bookmarkStart w:id="5" w:name="_Toc7432"/>
      <w:r>
        <w:rPr>
          <w:rFonts w:hint="eastAsia"/>
          <w:b/>
          <w:bCs/>
          <w:i w:val="0"/>
          <w:iCs/>
          <w:color w:val="auto"/>
          <w:sz w:val="32"/>
          <w:szCs w:val="32"/>
          <w:highlight w:val="none"/>
        </w:rPr>
        <w:t>第一章</w:t>
      </w:r>
      <w:r>
        <w:rPr>
          <w:b/>
          <w:bCs/>
          <w:i w:val="0"/>
          <w:iCs/>
          <w:color w:val="auto"/>
          <w:sz w:val="32"/>
          <w:szCs w:val="32"/>
          <w:highlight w:val="none"/>
        </w:rPr>
        <w:t xml:space="preserve">   </w:t>
      </w:r>
      <w:bookmarkEnd w:id="1"/>
      <w:bookmarkEnd w:id="2"/>
      <w:bookmarkEnd w:id="3"/>
      <w:bookmarkEnd w:id="5"/>
      <w:r>
        <w:rPr>
          <w:rFonts w:hint="eastAsia"/>
          <w:b/>
          <w:bCs/>
          <w:i w:val="0"/>
          <w:iCs/>
          <w:color w:val="auto"/>
          <w:sz w:val="32"/>
          <w:szCs w:val="32"/>
          <w:highlight w:val="none"/>
          <w:lang w:val="en-US" w:eastAsia="zh-CN"/>
        </w:rPr>
        <w:t>谈判邀请（谈判</w:t>
      </w:r>
      <w:r>
        <w:rPr>
          <w:rFonts w:hint="eastAsia"/>
          <w:b/>
          <w:bCs/>
          <w:i w:val="0"/>
          <w:iCs/>
          <w:color w:val="auto"/>
          <w:sz w:val="32"/>
          <w:szCs w:val="32"/>
          <w:highlight w:val="none"/>
        </w:rPr>
        <w:t>公告</w:t>
      </w:r>
      <w:r>
        <w:rPr>
          <w:rFonts w:hint="eastAsia"/>
          <w:b/>
          <w:bCs/>
          <w:i w:val="0"/>
          <w:iCs/>
          <w:color w:val="auto"/>
          <w:sz w:val="32"/>
          <w:szCs w:val="32"/>
          <w:highlight w:val="none"/>
          <w:lang w:eastAsia="zh-CN"/>
        </w:rPr>
        <w:t>）</w:t>
      </w:r>
    </w:p>
    <w:p w14:paraId="69B8728E">
      <w:pPr>
        <w:jc w:val="center"/>
        <w:rPr>
          <w:rFonts w:ascii="华文中宋" w:hAnsi="华文中宋" w:eastAsia="华文中宋"/>
          <w:b w:val="0"/>
          <w:bCs w:val="0"/>
          <w:color w:val="auto"/>
          <w:kern w:val="44"/>
          <w:sz w:val="32"/>
          <w:szCs w:val="32"/>
          <w:highlight w:val="none"/>
        </w:rPr>
      </w:pPr>
      <w:bookmarkStart w:id="6" w:name="_Toc35393797"/>
      <w:bookmarkStart w:id="7" w:name="_Toc28359011"/>
      <w:r>
        <w:rPr>
          <w:rFonts w:hint="eastAsia" w:ascii="华文中宋" w:hAnsi="华文中宋" w:eastAsia="华文中宋"/>
          <w:b w:val="0"/>
          <w:bCs w:val="0"/>
          <w:color w:val="auto"/>
          <w:kern w:val="44"/>
          <w:sz w:val="32"/>
          <w:szCs w:val="32"/>
          <w:highlight w:val="none"/>
          <w:lang w:val="en-US" w:eastAsia="zh-CN"/>
        </w:rPr>
        <w:t xml:space="preserve">  项目</w:t>
      </w:r>
      <w:r>
        <w:rPr>
          <w:rFonts w:hint="eastAsia" w:ascii="华文中宋" w:hAnsi="华文中宋" w:eastAsia="华文中宋"/>
          <w:b w:val="0"/>
          <w:bCs w:val="0"/>
          <w:color w:val="auto"/>
          <w:kern w:val="44"/>
          <w:sz w:val="32"/>
          <w:szCs w:val="32"/>
          <w:highlight w:val="none"/>
        </w:rPr>
        <w:t>竞争性</w:t>
      </w:r>
      <w:r>
        <w:rPr>
          <w:rFonts w:hint="eastAsia" w:ascii="华文中宋" w:hAnsi="华文中宋" w:eastAsia="华文中宋"/>
          <w:b w:val="0"/>
          <w:bCs w:val="0"/>
          <w:color w:val="auto"/>
          <w:kern w:val="44"/>
          <w:sz w:val="32"/>
          <w:szCs w:val="32"/>
          <w:highlight w:val="none"/>
          <w:lang w:val="en-US" w:eastAsia="zh-CN"/>
        </w:rPr>
        <w:t>谈判</w:t>
      </w:r>
      <w:r>
        <w:rPr>
          <w:rFonts w:hint="eastAsia" w:ascii="华文中宋" w:hAnsi="华文中宋" w:eastAsia="华文中宋"/>
          <w:b w:val="0"/>
          <w:bCs w:val="0"/>
          <w:color w:val="auto"/>
          <w:kern w:val="44"/>
          <w:sz w:val="32"/>
          <w:szCs w:val="32"/>
          <w:highlight w:val="none"/>
        </w:rPr>
        <w:t>公告</w:t>
      </w:r>
      <w:bookmarkEnd w:id="6"/>
      <w:bookmarkEnd w:id="7"/>
    </w:p>
    <w:tbl>
      <w:tblPr>
        <w:tblStyle w:val="39"/>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332AE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2B81EA2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0" w:right="0" w:firstLine="420"/>
              <w:jc w:val="both"/>
              <w:rPr>
                <w:color w:val="333333"/>
                <w:sz w:val="27"/>
                <w:szCs w:val="27"/>
              </w:rPr>
            </w:pPr>
            <w:bookmarkStart w:id="8" w:name="OLE_LINK7"/>
            <w:bookmarkStart w:id="9" w:name="OLE_LINK4"/>
            <w:bookmarkStart w:id="260" w:name="_GoBack"/>
            <w:r>
              <w:rPr>
                <w:rFonts w:ascii="仿宋" w:hAnsi="仿宋" w:eastAsia="仿宋" w:cs="仿宋"/>
                <w:color w:val="333333"/>
                <w:kern w:val="0"/>
                <w:sz w:val="27"/>
                <w:szCs w:val="27"/>
                <w:lang w:val="en-US" w:eastAsia="zh-CN" w:bidi="ar"/>
              </w:rPr>
              <w:t>项目概况</w:t>
            </w:r>
          </w:p>
          <w:p w14:paraId="78714DEE">
            <w:pPr>
              <w:ind w:firstLine="540" w:firstLineChars="200"/>
              <w:rPr>
                <w:color w:val="auto"/>
                <w:highlight w:val="none"/>
              </w:rPr>
            </w:pPr>
            <w:bookmarkStart w:id="10" w:name="OLE_LINK8"/>
            <w:r>
              <w:rPr>
                <w:rFonts w:hint="eastAsia" w:ascii="仿宋" w:hAnsi="仿宋" w:eastAsia="仿宋" w:cs="仿宋"/>
                <w:color w:val="333333"/>
                <w:kern w:val="0"/>
                <w:sz w:val="27"/>
                <w:szCs w:val="27"/>
                <w:u w:val="single"/>
                <w:lang w:val="en-US" w:eastAsia="zh-CN" w:bidi="ar"/>
              </w:rPr>
              <w:t>桐城师范高等专科学校体操房建设项目</w:t>
            </w:r>
            <w:bookmarkEnd w:id="10"/>
            <w:r>
              <w:rPr>
                <w:rFonts w:hint="eastAsia" w:ascii="仿宋" w:hAnsi="仿宋" w:eastAsia="仿宋" w:cs="仿宋"/>
                <w:color w:val="333333"/>
                <w:kern w:val="0"/>
                <w:sz w:val="27"/>
                <w:szCs w:val="27"/>
                <w:lang w:val="en-US" w:eastAsia="zh-CN" w:bidi="ar"/>
              </w:rPr>
              <w:t>的潜在供应商应在桐城师范高等专科学校官网获取采购文件，并于2024年9月6日9时00分（北京时间）前提交响应文件。</w:t>
            </w:r>
            <w:r>
              <w:rPr>
                <w:rFonts w:asciiTheme="minorHAnsi" w:hAnsiTheme="minorHAnsi" w:eastAsiaTheme="minorEastAsia" w:cstheme="minorBidi"/>
                <w:color w:val="333333"/>
                <w:kern w:val="0"/>
                <w:sz w:val="27"/>
                <w:szCs w:val="27"/>
                <w:lang w:val="en-US" w:eastAsia="zh-CN" w:bidi="ar"/>
              </w:rPr>
              <w:t> </w:t>
            </w:r>
          </w:p>
        </w:tc>
      </w:tr>
    </w:tbl>
    <w:p w14:paraId="61B2FCFB">
      <w:pPr>
        <w:rPr>
          <w:color w:val="auto"/>
          <w:szCs w:val="21"/>
          <w:highlight w:val="none"/>
        </w:rPr>
      </w:pPr>
    </w:p>
    <w:p w14:paraId="64B8DB27">
      <w:pPr>
        <w:rPr>
          <w:rFonts w:ascii="黑体" w:hAnsi="黑体" w:eastAsia="黑体" w:cs="宋体"/>
          <w:bCs/>
          <w:color w:val="auto"/>
          <w:sz w:val="28"/>
          <w:szCs w:val="28"/>
          <w:highlight w:val="none"/>
        </w:rPr>
      </w:pPr>
      <w:bookmarkStart w:id="11" w:name="_Toc35393798"/>
      <w:bookmarkStart w:id="12" w:name="_Toc28359012"/>
      <w:bookmarkStart w:id="13" w:name="_Toc28359089"/>
      <w:bookmarkStart w:id="14" w:name="_Toc35393629"/>
      <w:r>
        <w:rPr>
          <w:rFonts w:hint="eastAsia" w:ascii="黑体" w:hAnsi="黑体" w:eastAsia="黑体" w:cs="宋体"/>
          <w:bCs/>
          <w:color w:val="auto"/>
          <w:sz w:val="28"/>
          <w:szCs w:val="28"/>
          <w:highlight w:val="none"/>
        </w:rPr>
        <w:t>一、项目基本情况</w:t>
      </w:r>
      <w:bookmarkEnd w:id="11"/>
      <w:bookmarkEnd w:id="12"/>
      <w:bookmarkEnd w:id="13"/>
      <w:bookmarkEnd w:id="14"/>
    </w:p>
    <w:p w14:paraId="0E0D5F2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项目编号：TCSZCG(202</w:t>
      </w:r>
      <w:r>
        <w:rPr>
          <w:rFonts w:hint="eastAsia" w:ascii="仿宋" w:hAnsi="仿宋" w:eastAsia="仿宋" w:cs="Times New Roman"/>
          <w:color w:val="auto"/>
          <w:sz w:val="28"/>
          <w:szCs w:val="28"/>
          <w:highlight w:val="none"/>
          <w:lang w:val="en-US" w:eastAsia="zh-CN"/>
        </w:rPr>
        <w:t>4</w:t>
      </w:r>
      <w:r>
        <w:rPr>
          <w:rFonts w:hint="eastAsia" w:ascii="仿宋" w:hAnsi="仿宋" w:eastAsia="仿宋" w:cs="Times New Roman"/>
          <w:color w:val="auto"/>
          <w:sz w:val="28"/>
          <w:szCs w:val="28"/>
          <w:highlight w:val="none"/>
          <w:lang w:eastAsia="zh-CN"/>
        </w:rPr>
        <w:t xml:space="preserve">) </w:t>
      </w:r>
      <w:r>
        <w:rPr>
          <w:rFonts w:hint="eastAsia" w:ascii="仿宋" w:hAnsi="仿宋" w:eastAsia="仿宋" w:cs="Times New Roman"/>
          <w:color w:val="auto"/>
          <w:sz w:val="28"/>
          <w:szCs w:val="28"/>
          <w:highlight w:val="none"/>
          <w:lang w:val="en-US" w:eastAsia="zh-CN"/>
        </w:rPr>
        <w:t>021</w:t>
      </w:r>
      <w:r>
        <w:rPr>
          <w:rFonts w:hint="eastAsia" w:ascii="仿宋" w:hAnsi="仿宋" w:eastAsia="仿宋" w:cs="Times New Roman"/>
          <w:color w:val="auto"/>
          <w:sz w:val="28"/>
          <w:szCs w:val="28"/>
          <w:highlight w:val="none"/>
          <w:lang w:eastAsia="zh-CN"/>
        </w:rPr>
        <w:t>号</w:t>
      </w:r>
    </w:p>
    <w:p w14:paraId="06D9583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w:t>
      </w:r>
      <w:bookmarkStart w:id="15" w:name="OLE_LINK9"/>
      <w:r>
        <w:rPr>
          <w:rFonts w:hint="eastAsia" w:ascii="仿宋" w:hAnsi="仿宋" w:eastAsia="仿宋" w:cs="Times New Roman"/>
          <w:color w:val="auto"/>
          <w:sz w:val="28"/>
          <w:szCs w:val="28"/>
          <w:highlight w:val="none"/>
          <w:lang w:val="en-US" w:eastAsia="zh-CN"/>
        </w:rPr>
        <w:t>桐城师范高等专科学校</w:t>
      </w:r>
      <w:bookmarkStart w:id="16" w:name="OLE_LINK12"/>
      <w:r>
        <w:rPr>
          <w:rFonts w:hint="eastAsia" w:ascii="仿宋" w:hAnsi="仿宋" w:eastAsia="仿宋" w:cs="Times New Roman"/>
          <w:color w:val="auto"/>
          <w:sz w:val="28"/>
          <w:szCs w:val="28"/>
          <w:highlight w:val="none"/>
          <w:lang w:val="en-US" w:eastAsia="zh-CN"/>
        </w:rPr>
        <w:t>体操房建设项目</w:t>
      </w:r>
      <w:bookmarkEnd w:id="15"/>
      <w:bookmarkEnd w:id="16"/>
    </w:p>
    <w:p w14:paraId="6253FAF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采购方式：竞争性</w:t>
      </w:r>
      <w:r>
        <w:rPr>
          <w:rFonts w:hint="eastAsia" w:ascii="仿宋" w:hAnsi="仿宋" w:eastAsia="仿宋"/>
          <w:color w:val="auto"/>
          <w:sz w:val="28"/>
          <w:szCs w:val="28"/>
          <w:highlight w:val="none"/>
          <w:lang w:val="en-US" w:eastAsia="zh-CN"/>
        </w:rPr>
        <w:t>谈判</w:t>
      </w:r>
    </w:p>
    <w:p w14:paraId="1FD4AF7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预算金额：</w:t>
      </w:r>
      <w:bookmarkStart w:id="17" w:name="OLE_LINK2"/>
      <w:r>
        <w:rPr>
          <w:rFonts w:hint="eastAsia" w:ascii="仿宋" w:hAnsi="仿宋" w:eastAsia="仿宋"/>
          <w:color w:val="auto"/>
          <w:sz w:val="28"/>
          <w:szCs w:val="28"/>
          <w:highlight w:val="none"/>
          <w:lang w:val="en-US" w:eastAsia="zh-CN"/>
        </w:rPr>
        <w:t>260000元</w:t>
      </w:r>
      <w:bookmarkEnd w:id="17"/>
    </w:p>
    <w:p w14:paraId="1756907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最高限价：</w:t>
      </w:r>
      <w:r>
        <w:rPr>
          <w:rFonts w:hint="eastAsia" w:ascii="仿宋" w:hAnsi="仿宋" w:eastAsia="仿宋"/>
          <w:color w:val="auto"/>
          <w:sz w:val="28"/>
          <w:szCs w:val="28"/>
          <w:highlight w:val="none"/>
          <w:lang w:val="en-US" w:eastAsia="zh-CN"/>
        </w:rPr>
        <w:t>260000元</w:t>
      </w:r>
    </w:p>
    <w:p w14:paraId="79DF3AC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采购需求：</w:t>
      </w:r>
      <w:r>
        <w:rPr>
          <w:rFonts w:hint="eastAsia" w:ascii="仿宋" w:hAnsi="仿宋" w:eastAsia="仿宋" w:cs="Times New Roman"/>
          <w:color w:val="auto"/>
          <w:sz w:val="28"/>
          <w:szCs w:val="28"/>
          <w:highlight w:val="none"/>
          <w:lang w:val="en-US" w:eastAsia="zh-CN"/>
        </w:rPr>
        <w:t>桐城师范高等专科学校体操房建设项目</w:t>
      </w:r>
      <w:r>
        <w:rPr>
          <w:rFonts w:hint="eastAsia" w:ascii="仿宋" w:hAnsi="仿宋" w:eastAsia="仿宋"/>
          <w:color w:val="auto"/>
          <w:sz w:val="28"/>
          <w:szCs w:val="28"/>
          <w:highlight w:val="none"/>
          <w:lang w:val="en-US" w:eastAsia="zh-CN"/>
        </w:rPr>
        <w:t>，</w:t>
      </w:r>
      <w:r>
        <w:rPr>
          <w:rFonts w:hint="eastAsia" w:ascii="仿宋" w:hAnsi="仿宋" w:eastAsia="仿宋"/>
          <w:color w:val="auto"/>
          <w:sz w:val="28"/>
          <w:szCs w:val="28"/>
          <w:highlight w:val="none"/>
        </w:rPr>
        <w:t>详见</w:t>
      </w:r>
      <w:r>
        <w:rPr>
          <w:rFonts w:hint="eastAsia" w:ascii="仿宋" w:hAnsi="仿宋" w:eastAsia="仿宋"/>
          <w:color w:val="auto"/>
          <w:sz w:val="28"/>
          <w:szCs w:val="28"/>
          <w:highlight w:val="none"/>
          <w:lang w:val="en-US" w:eastAsia="zh-CN"/>
        </w:rPr>
        <w:t>采购需求。</w:t>
      </w:r>
    </w:p>
    <w:p w14:paraId="251E99C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合同履行期限：</w:t>
      </w:r>
      <w:r>
        <w:rPr>
          <w:rFonts w:hint="eastAsia" w:ascii="仿宋" w:hAnsi="仿宋" w:eastAsia="仿宋"/>
          <w:color w:val="auto"/>
          <w:sz w:val="28"/>
          <w:szCs w:val="28"/>
          <w:highlight w:val="none"/>
          <w:lang w:val="en-US" w:eastAsia="zh-CN"/>
        </w:rPr>
        <w:t>30个日历天</w:t>
      </w:r>
    </w:p>
    <w:p w14:paraId="0788DD7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本项目不接受联合体。</w:t>
      </w:r>
    </w:p>
    <w:p w14:paraId="485E3833">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bookmarkStart w:id="18" w:name="_Toc35393799"/>
      <w:bookmarkStart w:id="19" w:name="_Toc35393630"/>
      <w:bookmarkStart w:id="20" w:name="_Toc28359090"/>
      <w:bookmarkStart w:id="21" w:name="_Toc28359013"/>
      <w:r>
        <w:rPr>
          <w:rFonts w:hint="eastAsia" w:ascii="黑体" w:hAnsi="黑体" w:eastAsia="黑体" w:cs="宋体"/>
          <w:bCs/>
          <w:color w:val="auto"/>
          <w:sz w:val="28"/>
          <w:szCs w:val="28"/>
          <w:highlight w:val="none"/>
        </w:rPr>
        <w:t>二、申请人的资格要求：</w:t>
      </w:r>
      <w:bookmarkEnd w:id="18"/>
      <w:bookmarkEnd w:id="19"/>
      <w:bookmarkEnd w:id="20"/>
      <w:bookmarkEnd w:id="21"/>
    </w:p>
    <w:p w14:paraId="4CFB7D6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olor w:val="auto"/>
          <w:sz w:val="28"/>
          <w:szCs w:val="28"/>
          <w:highlight w:val="none"/>
        </w:rPr>
      </w:pPr>
      <w:bookmarkStart w:id="22" w:name="_Toc35393800"/>
      <w:bookmarkStart w:id="23" w:name="_Toc28359014"/>
      <w:bookmarkStart w:id="24" w:name="_Toc35393631"/>
      <w:bookmarkStart w:id="25" w:name="_Toc28359091"/>
      <w:r>
        <w:rPr>
          <w:rFonts w:hint="eastAsia" w:ascii="仿宋" w:hAnsi="仿宋" w:eastAsia="仿宋"/>
          <w:color w:val="auto"/>
          <w:sz w:val="28"/>
          <w:szCs w:val="28"/>
          <w:highlight w:val="none"/>
        </w:rPr>
        <w:t>1.满足《中华人民共和国政府采购法》第二十二条规定；</w:t>
      </w:r>
    </w:p>
    <w:p w14:paraId="79AC798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rPr>
      </w:pPr>
      <w:r>
        <w:rPr>
          <w:rFonts w:ascii="仿宋" w:hAnsi="仿宋" w:eastAsia="仿宋"/>
          <w:color w:val="auto"/>
          <w:sz w:val="28"/>
          <w:szCs w:val="28"/>
          <w:highlight w:val="none"/>
        </w:rPr>
        <w:t>2</w:t>
      </w:r>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具有有效的营业执照；</w:t>
      </w:r>
    </w:p>
    <w:p w14:paraId="51A2CBF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22"/>
      <w:bookmarkEnd w:id="23"/>
      <w:bookmarkEnd w:id="24"/>
      <w:bookmarkEnd w:id="25"/>
    </w:p>
    <w:p w14:paraId="715100A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时间：202</w:t>
      </w:r>
      <w:r>
        <w:rPr>
          <w:rFonts w:hint="eastAsia" w:ascii="仿宋" w:hAnsi="仿宋" w:eastAsia="仿宋" w:cs="宋体"/>
          <w:color w:val="auto"/>
          <w:sz w:val="28"/>
          <w:szCs w:val="28"/>
          <w:highlight w:val="none"/>
          <w:lang w:val="en-US" w:eastAsia="zh-CN"/>
        </w:rPr>
        <w:t>4</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9</w:t>
      </w:r>
      <w:r>
        <w:rPr>
          <w:rFonts w:hint="eastAsia" w:ascii="仿宋" w:hAnsi="仿宋" w:eastAsia="仿宋" w:cs="宋体"/>
          <w:color w:val="auto"/>
          <w:sz w:val="28"/>
          <w:szCs w:val="28"/>
          <w:highlight w:val="none"/>
        </w:rPr>
        <w:t>月</w:t>
      </w:r>
      <w:r>
        <w:rPr>
          <w:rFonts w:hint="eastAsia" w:ascii="仿宋" w:hAnsi="仿宋" w:eastAsia="仿宋" w:cs="宋体"/>
          <w:color w:val="auto"/>
          <w:sz w:val="28"/>
          <w:szCs w:val="28"/>
          <w:highlight w:val="none"/>
          <w:lang w:val="en-US" w:eastAsia="zh-CN"/>
        </w:rPr>
        <w:t>6</w:t>
      </w:r>
      <w:r>
        <w:rPr>
          <w:rFonts w:hint="eastAsia" w:ascii="仿宋" w:hAnsi="仿宋" w:eastAsia="仿宋" w:cs="宋体"/>
          <w:color w:val="auto"/>
          <w:sz w:val="28"/>
          <w:szCs w:val="28"/>
          <w:highlight w:val="none"/>
        </w:rPr>
        <w:t>日9时00分前（北京时间）</w:t>
      </w:r>
    </w:p>
    <w:p w14:paraId="31ABB51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地点：桐城师范高等专科学校官网</w:t>
      </w:r>
    </w:p>
    <w:p w14:paraId="3873665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方式：供应商登录桐城师范高等专科学校官网获取采购文件及其它资料（含澄清和补充说明等）。</w:t>
      </w:r>
    </w:p>
    <w:p w14:paraId="0FA70CB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14:paraId="568EE22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bookmarkStart w:id="26" w:name="_Toc28359015"/>
      <w:bookmarkStart w:id="27" w:name="_Toc35393632"/>
      <w:bookmarkStart w:id="28" w:name="_Toc28359092"/>
      <w:bookmarkStart w:id="29" w:name="_Toc35393801"/>
      <w:r>
        <w:rPr>
          <w:rFonts w:hint="eastAsia" w:ascii="黑体" w:hAnsi="黑体" w:eastAsia="黑体" w:cs="宋体"/>
          <w:bCs/>
          <w:color w:val="auto"/>
          <w:sz w:val="28"/>
          <w:szCs w:val="28"/>
          <w:highlight w:val="none"/>
        </w:rPr>
        <w:t>四、响应文件提交</w:t>
      </w:r>
      <w:bookmarkEnd w:id="26"/>
      <w:bookmarkEnd w:id="27"/>
      <w:bookmarkEnd w:id="28"/>
      <w:bookmarkEnd w:id="29"/>
    </w:p>
    <w:p w14:paraId="7320C20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bookmarkStart w:id="30" w:name="_Toc28359016"/>
      <w:bookmarkStart w:id="31" w:name="_Toc28359093"/>
      <w:bookmarkStart w:id="32" w:name="_Toc35393633"/>
      <w:bookmarkStart w:id="33" w:name="_Toc35393802"/>
      <w:r>
        <w:rPr>
          <w:rFonts w:hint="eastAsia" w:ascii="仿宋" w:hAnsi="仿宋" w:eastAsia="仿宋" w:cs="仿宋"/>
          <w:b w:val="0"/>
          <w:bCs/>
          <w:color w:val="auto"/>
          <w:sz w:val="28"/>
          <w:szCs w:val="28"/>
          <w:highlight w:val="none"/>
        </w:rPr>
        <w:t>截止时间：202</w:t>
      </w:r>
      <w:r>
        <w:rPr>
          <w:rFonts w:hint="eastAsia" w:ascii="仿宋" w:hAnsi="仿宋" w:eastAsia="仿宋" w:cs="仿宋"/>
          <w:b w:val="0"/>
          <w:bCs/>
          <w:color w:val="auto"/>
          <w:sz w:val="28"/>
          <w:szCs w:val="28"/>
          <w:highlight w:val="none"/>
          <w:lang w:val="en-US" w:eastAsia="zh-CN"/>
        </w:rPr>
        <w:t>4</w:t>
      </w:r>
      <w:r>
        <w:rPr>
          <w:rFonts w:hint="eastAsia" w:ascii="仿宋" w:hAnsi="仿宋" w:eastAsia="仿宋" w:cs="仿宋"/>
          <w:b w:val="0"/>
          <w:bCs/>
          <w:color w:val="auto"/>
          <w:sz w:val="28"/>
          <w:szCs w:val="28"/>
          <w:highlight w:val="none"/>
        </w:rPr>
        <w:t>年</w:t>
      </w:r>
      <w:r>
        <w:rPr>
          <w:rFonts w:hint="eastAsia" w:ascii="仿宋" w:hAnsi="仿宋" w:eastAsia="仿宋" w:cs="仿宋"/>
          <w:b w:val="0"/>
          <w:bCs/>
          <w:color w:val="auto"/>
          <w:sz w:val="28"/>
          <w:szCs w:val="28"/>
          <w:highlight w:val="none"/>
          <w:lang w:val="en-US" w:eastAsia="zh-CN"/>
        </w:rPr>
        <w:t>9</w:t>
      </w:r>
      <w:r>
        <w:rPr>
          <w:rFonts w:hint="eastAsia" w:ascii="仿宋" w:hAnsi="仿宋" w:eastAsia="仿宋" w:cs="仿宋"/>
          <w:b w:val="0"/>
          <w:bCs/>
          <w:color w:val="auto"/>
          <w:sz w:val="28"/>
          <w:szCs w:val="28"/>
          <w:highlight w:val="none"/>
        </w:rPr>
        <w:t>月</w:t>
      </w:r>
      <w:r>
        <w:rPr>
          <w:rFonts w:hint="eastAsia" w:ascii="仿宋" w:hAnsi="仿宋" w:eastAsia="仿宋" w:cs="仿宋"/>
          <w:b w:val="0"/>
          <w:bCs/>
          <w:color w:val="auto"/>
          <w:sz w:val="28"/>
          <w:szCs w:val="28"/>
          <w:highlight w:val="none"/>
          <w:lang w:val="en-US" w:eastAsia="zh-CN"/>
        </w:rPr>
        <w:t>6</w:t>
      </w:r>
      <w:r>
        <w:rPr>
          <w:rFonts w:hint="eastAsia" w:ascii="仿宋" w:hAnsi="仿宋" w:eastAsia="仿宋" w:cs="仿宋"/>
          <w:b w:val="0"/>
          <w:bCs/>
          <w:color w:val="auto"/>
          <w:sz w:val="28"/>
          <w:szCs w:val="28"/>
          <w:highlight w:val="none"/>
        </w:rPr>
        <w:t>日9时00分</w:t>
      </w:r>
    </w:p>
    <w:p w14:paraId="2FDFF55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地点：</w:t>
      </w:r>
      <w:r>
        <w:rPr>
          <w:rFonts w:hint="eastAsia" w:ascii="仿宋" w:hAnsi="仿宋" w:eastAsia="仿宋" w:cs="Times New Roman"/>
          <w:color w:val="auto"/>
          <w:sz w:val="28"/>
          <w:szCs w:val="28"/>
          <w:highlight w:val="none"/>
          <w:lang w:val="en-US" w:eastAsia="zh-CN"/>
        </w:rPr>
        <w:t>桐城市玉雕文化产业园8幢108-109</w:t>
      </w:r>
    </w:p>
    <w:p w14:paraId="281FBBE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30"/>
      <w:bookmarkEnd w:id="31"/>
      <w:bookmarkEnd w:id="32"/>
      <w:bookmarkEnd w:id="33"/>
    </w:p>
    <w:p w14:paraId="06F59F8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olor w:val="auto"/>
          <w:sz w:val="28"/>
          <w:szCs w:val="28"/>
          <w:highlight w:val="none"/>
          <w:lang w:val="en-US" w:eastAsia="zh-CN"/>
        </w:rPr>
      </w:pPr>
      <w:bookmarkStart w:id="34" w:name="_Toc28359094"/>
      <w:bookmarkStart w:id="35" w:name="_Toc35393634"/>
      <w:bookmarkStart w:id="36" w:name="_Toc35393803"/>
      <w:bookmarkStart w:id="37" w:name="_Toc28359017"/>
      <w:r>
        <w:rPr>
          <w:rFonts w:hint="eastAsia" w:ascii="仿宋" w:hAnsi="仿宋" w:eastAsia="仿宋"/>
          <w:color w:val="auto"/>
          <w:sz w:val="28"/>
          <w:szCs w:val="28"/>
          <w:highlight w:val="none"/>
          <w:lang w:val="en-US" w:eastAsia="zh-CN"/>
        </w:rPr>
        <w:t>时间：2024年9月6日9时00分</w:t>
      </w:r>
    </w:p>
    <w:p w14:paraId="1541196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仿宋"/>
          <w:b w:val="0"/>
          <w:bCs/>
          <w:color w:val="auto"/>
          <w:sz w:val="28"/>
          <w:szCs w:val="28"/>
          <w:highlight w:val="none"/>
        </w:rPr>
      </w:pPr>
      <w:r>
        <w:rPr>
          <w:rFonts w:hint="eastAsia" w:ascii="仿宋" w:hAnsi="仿宋" w:eastAsia="仿宋" w:cs="仿宋"/>
          <w:b w:val="0"/>
          <w:bCs/>
          <w:color w:val="auto"/>
          <w:sz w:val="28"/>
          <w:szCs w:val="28"/>
          <w:highlight w:val="none"/>
        </w:rPr>
        <w:t>地点：桐城市玉雕文化产业园8幢108-109 </w:t>
      </w:r>
    </w:p>
    <w:p w14:paraId="10F4E9F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34"/>
      <w:bookmarkEnd w:id="35"/>
      <w:bookmarkEnd w:id="36"/>
      <w:bookmarkEnd w:id="37"/>
    </w:p>
    <w:p w14:paraId="2E8DE90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14:paraId="7BC75874">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firstLine="560" w:firstLineChars="200"/>
        <w:textAlignment w:val="auto"/>
        <w:rPr>
          <w:rFonts w:hint="eastAsia" w:ascii="黑体" w:hAnsi="黑体" w:eastAsia="黑体" w:cs="宋体"/>
          <w:bCs/>
          <w:color w:val="auto"/>
          <w:sz w:val="28"/>
          <w:szCs w:val="28"/>
          <w:highlight w:val="none"/>
        </w:rPr>
      </w:pPr>
      <w:bookmarkStart w:id="38" w:name="_Toc35393804"/>
      <w:bookmarkStart w:id="39" w:name="_Toc35393635"/>
      <w:r>
        <w:rPr>
          <w:rFonts w:hint="eastAsia" w:ascii="黑体" w:hAnsi="黑体" w:eastAsia="黑体" w:cs="宋体"/>
          <w:bCs/>
          <w:color w:val="auto"/>
          <w:sz w:val="28"/>
          <w:szCs w:val="28"/>
          <w:highlight w:val="none"/>
        </w:rPr>
        <w:t>其他补充事宜</w:t>
      </w:r>
      <w:bookmarkEnd w:id="38"/>
      <w:bookmarkEnd w:id="39"/>
    </w:p>
    <w:p w14:paraId="5484C19D">
      <w:pPr>
        <w:keepNext w:val="0"/>
        <w:keepLines w:val="0"/>
        <w:pageBreakBefore w:val="0"/>
        <w:widowControl w:val="0"/>
        <w:numPr>
          <w:ilvl w:val="0"/>
          <w:numId w:val="2"/>
        </w:numPr>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响应文件要求：投标时需将“响应文件”分正、副本一起装袋密封，并在密封袋上加盖公章。响应文件未按要求装订密封，现场报名时招标代理将拒绝接收。</w:t>
      </w:r>
    </w:p>
    <w:p w14:paraId="28A960D4">
      <w:pPr>
        <w:keepNext w:val="0"/>
        <w:keepLines w:val="0"/>
        <w:pageBreakBefore w:val="0"/>
        <w:widowControl w:val="0"/>
        <w:numPr>
          <w:numId w:val="0"/>
        </w:numPr>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注：响应文件的密封袋的封口骑缝处应加盖投标人印章；响应文件密封袋上均应注明下列识别标志:</w:t>
      </w:r>
    </w:p>
    <w:p w14:paraId="7C0CA9B2">
      <w:pPr>
        <w:keepNext w:val="0"/>
        <w:keepLines w:val="0"/>
        <w:pageBreakBefore w:val="0"/>
        <w:widowControl w:val="0"/>
        <w:numPr>
          <w:numId w:val="0"/>
        </w:numPr>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招标人名称：        项目名称：</w:t>
      </w:r>
    </w:p>
    <w:p w14:paraId="6FEEB453">
      <w:pPr>
        <w:keepNext w:val="0"/>
        <w:keepLines w:val="0"/>
        <w:pageBreakBefore w:val="0"/>
        <w:widowControl w:val="0"/>
        <w:numPr>
          <w:numId w:val="0"/>
        </w:numPr>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年    月    日   时  分，此时间以前不得开封。</w:t>
      </w:r>
    </w:p>
    <w:p w14:paraId="1D21D53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2、中标单位应按照中标通知书要求及时与采购人签订合同并完成备案，否则将记入不良行为记录，并予以披露。</w:t>
      </w:r>
    </w:p>
    <w:p w14:paraId="3ABA7B91">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八、凡对本次采购提出询问，请按以下方式联系。</w:t>
      </w:r>
    </w:p>
    <w:p w14:paraId="55B2AA2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14:paraId="46A3541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名称：桐城师范高等专科学校</w:t>
      </w:r>
    </w:p>
    <w:p w14:paraId="2D51EEC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地址：安徽省桐城市经开区学苑路199号</w:t>
      </w:r>
    </w:p>
    <w:p w14:paraId="711DEF4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联系人：高老师        联系方式：0556-6181669</w:t>
      </w:r>
    </w:p>
    <w:p w14:paraId="6572A5A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14:paraId="7962D73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名称：四川柯锐工程项目管理有限公司 </w:t>
      </w:r>
    </w:p>
    <w:p w14:paraId="09C6A838">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w:t>
      </w:r>
      <w:bookmarkStart w:id="40" w:name="OLE_LINK3"/>
      <w:r>
        <w:rPr>
          <w:rFonts w:hint="eastAsia" w:ascii="仿宋" w:hAnsi="仿宋" w:eastAsia="仿宋" w:cs="Times New Roman"/>
          <w:color w:val="auto"/>
          <w:sz w:val="28"/>
          <w:szCs w:val="28"/>
          <w:highlight w:val="none"/>
          <w:lang w:val="en-US" w:eastAsia="zh-CN"/>
        </w:rPr>
        <w:t>桐城市玉雕文化产业园8幢108-109</w:t>
      </w:r>
      <w:bookmarkEnd w:id="40"/>
    </w:p>
    <w:p w14:paraId="740164C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联系人：程工         联系方式：</w:t>
      </w:r>
      <w:bookmarkEnd w:id="8"/>
      <w:r>
        <w:rPr>
          <w:rFonts w:hint="eastAsia" w:ascii="仿宋" w:hAnsi="仿宋" w:eastAsia="仿宋" w:cs="Times New Roman"/>
          <w:color w:val="auto"/>
          <w:sz w:val="28"/>
          <w:szCs w:val="28"/>
          <w:highlight w:val="none"/>
          <w:lang w:val="en-US" w:eastAsia="zh-CN"/>
        </w:rPr>
        <w:t>0556-6029989</w:t>
      </w:r>
      <w:bookmarkEnd w:id="260"/>
      <w:bookmarkEnd w:id="9"/>
    </w:p>
    <w:p w14:paraId="00ED2FFC">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p w14:paraId="6B31E98C">
      <w:pPr>
        <w:pStyle w:val="2"/>
        <w:tabs>
          <w:tab w:val="left" w:pos="1440"/>
          <w:tab w:val="left" w:pos="5670"/>
        </w:tabs>
        <w:spacing w:before="62" w:beforeLines="20" w:after="62" w:afterLines="20" w:line="480" w:lineRule="exact"/>
        <w:ind w:firstLine="0" w:firstLineChars="0"/>
        <w:jc w:val="center"/>
        <w:rPr>
          <w:rFonts w:ascii="Arial" w:hAnsi="Arial"/>
          <w:color w:val="auto"/>
          <w:kern w:val="2"/>
          <w:sz w:val="32"/>
          <w:szCs w:val="32"/>
          <w:highlight w:val="none"/>
        </w:rPr>
      </w:pPr>
      <w:bookmarkStart w:id="41" w:name="_Toc11266"/>
      <w:bookmarkStart w:id="42" w:name="_Toc54941329"/>
      <w:bookmarkStart w:id="43" w:name="_Toc26069"/>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4"/>
      <w:bookmarkEnd w:id="41"/>
      <w:bookmarkEnd w:id="42"/>
      <w:bookmarkEnd w:id="43"/>
    </w:p>
    <w:p w14:paraId="47ED1BFF">
      <w:pPr>
        <w:pStyle w:val="3"/>
        <w:rPr>
          <w:rFonts w:hint="eastAsia" w:eastAsia="宋体" w:cs="Tahoma"/>
          <w:bCs/>
          <w:color w:val="auto"/>
          <w:kern w:val="0"/>
          <w:sz w:val="32"/>
          <w:szCs w:val="32"/>
          <w:highlight w:val="none"/>
          <w:lang w:eastAsia="zh-CN"/>
        </w:rPr>
      </w:pPr>
      <w:bookmarkStart w:id="44" w:name="_Toc17862"/>
      <w:bookmarkStart w:id="45" w:name="_Toc439316871"/>
      <w:bookmarkStart w:id="46" w:name="_Toc54941330"/>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44"/>
      <w:bookmarkEnd w:id="45"/>
      <w:bookmarkEnd w:id="46"/>
      <w:r>
        <w:rPr>
          <w:rFonts w:hint="eastAsia" w:cs="Tahoma"/>
          <w:bCs/>
          <w:color w:val="auto"/>
          <w:kern w:val="0"/>
          <w:sz w:val="32"/>
          <w:szCs w:val="32"/>
          <w:highlight w:val="none"/>
          <w:lang w:eastAsia="zh-CN"/>
        </w:rPr>
        <w:t>谈判须知前附表</w:t>
      </w:r>
    </w:p>
    <w:tbl>
      <w:tblPr>
        <w:tblStyle w:val="39"/>
        <w:tblW w:w="909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93"/>
        <w:gridCol w:w="2109"/>
        <w:gridCol w:w="6096"/>
      </w:tblGrid>
      <w:tr w14:paraId="3667529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37E465E8">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序号</w:t>
            </w:r>
          </w:p>
        </w:tc>
        <w:tc>
          <w:tcPr>
            <w:tcW w:w="2109" w:type="dxa"/>
            <w:tcBorders>
              <w:top w:val="single" w:color="auto" w:sz="4" w:space="0"/>
              <w:left w:val="single" w:color="auto" w:sz="4" w:space="0"/>
              <w:bottom w:val="single" w:color="auto" w:sz="4" w:space="0"/>
              <w:right w:val="single" w:color="auto" w:sz="4" w:space="0"/>
            </w:tcBorders>
          </w:tcPr>
          <w:p w14:paraId="5CB1403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4"/>
                <w:szCs w:val="24"/>
                <w:highlight w:val="none"/>
              </w:rPr>
            </w:pPr>
            <w:r>
              <w:rPr>
                <w:rFonts w:hint="eastAsia" w:ascii="宋体" w:hAnsi="宋体" w:eastAsia="宋体"/>
                <w:b/>
                <w:bCs/>
                <w:strike w:val="0"/>
                <w:dstrike w:val="0"/>
                <w:color w:val="auto"/>
                <w:sz w:val="24"/>
                <w:szCs w:val="24"/>
                <w:highlight w:val="none"/>
              </w:rPr>
              <w:t>内容</w:t>
            </w:r>
          </w:p>
        </w:tc>
        <w:tc>
          <w:tcPr>
            <w:tcW w:w="6096" w:type="dxa"/>
            <w:tcBorders>
              <w:top w:val="single" w:color="auto" w:sz="4" w:space="0"/>
              <w:left w:val="single" w:color="auto" w:sz="4" w:space="0"/>
              <w:bottom w:val="single" w:color="auto" w:sz="4" w:space="0"/>
            </w:tcBorders>
            <w:vAlign w:val="center"/>
          </w:tcPr>
          <w:p w14:paraId="1E897920">
            <w:pPr>
              <w:pageBreakBefore w:val="0"/>
              <w:tabs>
                <w:tab w:val="left" w:pos="1180"/>
              </w:tabs>
              <w:kinsoku/>
              <w:overflowPunct/>
              <w:topLinePunct w:val="0"/>
              <w:bidi w:val="0"/>
              <w:snapToGrid w:val="0"/>
              <w:spacing w:line="440" w:lineRule="exact"/>
              <w:jc w:val="center"/>
              <w:rPr>
                <w:rFonts w:ascii="宋体"/>
                <w:b/>
                <w:bCs/>
                <w:color w:val="auto"/>
                <w:sz w:val="24"/>
                <w:szCs w:val="24"/>
                <w:highlight w:val="none"/>
              </w:rPr>
            </w:pPr>
            <w:r>
              <w:rPr>
                <w:rFonts w:hint="eastAsia" w:ascii="宋体" w:hAnsi="宋体"/>
                <w:b/>
                <w:bCs/>
                <w:color w:val="auto"/>
                <w:sz w:val="24"/>
                <w:szCs w:val="24"/>
                <w:highlight w:val="none"/>
              </w:rPr>
              <w:t>说明与要求</w:t>
            </w:r>
          </w:p>
        </w:tc>
      </w:tr>
      <w:tr w14:paraId="196E78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893" w:type="dxa"/>
            <w:tcBorders>
              <w:top w:val="single" w:color="auto" w:sz="4" w:space="0"/>
              <w:bottom w:val="single" w:color="auto" w:sz="4" w:space="0"/>
              <w:right w:val="single" w:color="auto" w:sz="4" w:space="0"/>
            </w:tcBorders>
            <w:vAlign w:val="center"/>
          </w:tcPr>
          <w:p w14:paraId="4352B763">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w:t>
            </w:r>
          </w:p>
        </w:tc>
        <w:tc>
          <w:tcPr>
            <w:tcW w:w="2109" w:type="dxa"/>
            <w:tcBorders>
              <w:top w:val="single" w:color="auto" w:sz="4" w:space="0"/>
              <w:left w:val="single" w:color="auto" w:sz="4" w:space="0"/>
              <w:bottom w:val="single" w:color="auto" w:sz="4" w:space="0"/>
              <w:right w:val="single" w:color="auto" w:sz="4" w:space="0"/>
            </w:tcBorders>
            <w:vAlign w:val="center"/>
          </w:tcPr>
          <w:p w14:paraId="6C451102">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采购人</w:t>
            </w:r>
          </w:p>
        </w:tc>
        <w:tc>
          <w:tcPr>
            <w:tcW w:w="6096" w:type="dxa"/>
            <w:tcBorders>
              <w:top w:val="single" w:color="auto" w:sz="4" w:space="0"/>
              <w:left w:val="single" w:color="auto" w:sz="4" w:space="0"/>
              <w:bottom w:val="single" w:color="auto" w:sz="4" w:space="0"/>
            </w:tcBorders>
            <w:vAlign w:val="center"/>
          </w:tcPr>
          <w:p w14:paraId="034E6439">
            <w:pPr>
              <w:pageBreakBefore w:val="0"/>
              <w:widowControl/>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桐城师范高等专科学校</w:t>
            </w:r>
          </w:p>
        </w:tc>
      </w:tr>
      <w:tr w14:paraId="1BC8D16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6E1E92B0">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2</w:t>
            </w:r>
          </w:p>
        </w:tc>
        <w:tc>
          <w:tcPr>
            <w:tcW w:w="2109" w:type="dxa"/>
            <w:tcBorders>
              <w:top w:val="single" w:color="auto" w:sz="4" w:space="0"/>
              <w:left w:val="single" w:color="auto" w:sz="4" w:space="0"/>
              <w:bottom w:val="single" w:color="auto" w:sz="4" w:space="0"/>
              <w:right w:val="single" w:color="auto" w:sz="4" w:space="0"/>
            </w:tcBorders>
            <w:vAlign w:val="center"/>
          </w:tcPr>
          <w:p w14:paraId="4110DC19">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采购</w:t>
            </w:r>
            <w:r>
              <w:rPr>
                <w:rFonts w:hint="eastAsia" w:ascii="宋体" w:hAnsi="宋体" w:eastAsia="宋体"/>
                <w:strike w:val="0"/>
                <w:dstrike w:val="0"/>
                <w:color w:val="auto"/>
                <w:sz w:val="21"/>
                <w:szCs w:val="21"/>
                <w:highlight w:val="none"/>
                <w:lang w:val="en-US" w:eastAsia="zh-CN"/>
              </w:rPr>
              <w:t>代理</w:t>
            </w:r>
            <w:r>
              <w:rPr>
                <w:rFonts w:hint="eastAsia" w:ascii="宋体" w:hAnsi="宋体" w:eastAsia="宋体"/>
                <w:strike w:val="0"/>
                <w:dstrike w:val="0"/>
                <w:color w:val="auto"/>
                <w:sz w:val="21"/>
                <w:szCs w:val="21"/>
                <w:highlight w:val="none"/>
              </w:rPr>
              <w:t>机构</w:t>
            </w:r>
          </w:p>
        </w:tc>
        <w:tc>
          <w:tcPr>
            <w:tcW w:w="6096" w:type="dxa"/>
            <w:tcBorders>
              <w:top w:val="single" w:color="auto" w:sz="4" w:space="0"/>
              <w:left w:val="single" w:color="auto" w:sz="4" w:space="0"/>
              <w:bottom w:val="single" w:color="auto" w:sz="4" w:space="0"/>
            </w:tcBorders>
            <w:vAlign w:val="center"/>
          </w:tcPr>
          <w:p w14:paraId="50379E10">
            <w:pPr>
              <w:pageBreakBefore w:val="0"/>
              <w:kinsoku/>
              <w:overflowPunct/>
              <w:topLinePunct w:val="0"/>
              <w:bidi w:val="0"/>
              <w:snapToGrid w:val="0"/>
              <w:spacing w:line="440" w:lineRule="exact"/>
              <w:rPr>
                <w:rFonts w:hint="default" w:ascii="宋体" w:eastAsia="宋体" w:cs="宋体"/>
                <w:color w:val="auto"/>
                <w:kern w:val="0"/>
                <w:szCs w:val="21"/>
                <w:highlight w:val="none"/>
                <w:lang w:val="en-US" w:eastAsia="zh-CN"/>
              </w:rPr>
            </w:pPr>
            <w:r>
              <w:rPr>
                <w:rFonts w:hint="default" w:ascii="宋体" w:eastAsia="宋体" w:cs="宋体"/>
                <w:color w:val="auto"/>
                <w:kern w:val="0"/>
                <w:szCs w:val="21"/>
                <w:highlight w:val="none"/>
                <w:lang w:val="en-US" w:eastAsia="zh-CN"/>
              </w:rPr>
              <w:t>四川柯锐工程项目管理有限公司 </w:t>
            </w:r>
          </w:p>
        </w:tc>
      </w:tr>
      <w:tr w14:paraId="4FE1262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48BE4EFC">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eastAsia="宋体"/>
                <w:b/>
                <w:bCs/>
                <w:strike w:val="0"/>
                <w:dstrike w:val="0"/>
                <w:color w:val="auto"/>
                <w:sz w:val="21"/>
                <w:szCs w:val="21"/>
                <w:highlight w:val="none"/>
                <w:lang w:val="en-US" w:eastAsia="zh-CN"/>
              </w:rPr>
              <w:t>3</w:t>
            </w:r>
          </w:p>
        </w:tc>
        <w:tc>
          <w:tcPr>
            <w:tcW w:w="2109" w:type="dxa"/>
            <w:tcBorders>
              <w:top w:val="single" w:color="auto" w:sz="4" w:space="0"/>
              <w:left w:val="single" w:color="auto" w:sz="4" w:space="0"/>
              <w:bottom w:val="single" w:color="auto" w:sz="4" w:space="0"/>
              <w:right w:val="single" w:color="auto" w:sz="4" w:space="0"/>
            </w:tcBorders>
            <w:vAlign w:val="center"/>
          </w:tcPr>
          <w:p w14:paraId="34981842">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申请人（供应商）</w:t>
            </w:r>
            <w:r>
              <w:rPr>
                <w:rFonts w:hint="eastAsia" w:ascii="宋体" w:hAnsi="宋体" w:eastAsia="宋体"/>
                <w:strike w:val="0"/>
                <w:dstrike w:val="0"/>
                <w:color w:val="auto"/>
                <w:sz w:val="21"/>
                <w:szCs w:val="21"/>
                <w:highlight w:val="none"/>
              </w:rPr>
              <w:t>资格要求</w:t>
            </w:r>
          </w:p>
        </w:tc>
        <w:tc>
          <w:tcPr>
            <w:tcW w:w="6096" w:type="dxa"/>
            <w:tcBorders>
              <w:top w:val="single" w:color="auto" w:sz="4" w:space="0"/>
              <w:left w:val="single" w:color="auto" w:sz="4" w:space="0"/>
              <w:bottom w:val="single" w:color="auto" w:sz="4" w:space="0"/>
            </w:tcBorders>
            <w:vAlign w:val="center"/>
          </w:tcPr>
          <w:p w14:paraId="6F294FCF">
            <w:pPr>
              <w:pageBreakBefore w:val="0"/>
              <w:kinsoku/>
              <w:overflowPunct/>
              <w:topLinePunct w:val="0"/>
              <w:bidi w:val="0"/>
              <w:snapToGrid w:val="0"/>
              <w:spacing w:line="440" w:lineRule="exact"/>
              <w:rPr>
                <w:rFonts w:hint="eastAsia" w:ascii="宋体" w:hAnsi="宋体"/>
                <w:bCs w:val="0"/>
                <w:color w:val="auto"/>
                <w:sz w:val="21"/>
                <w:szCs w:val="21"/>
                <w:highlight w:val="none"/>
                <w:lang w:val="en-US" w:eastAsia="zh-CN"/>
              </w:rPr>
            </w:pPr>
            <w:r>
              <w:rPr>
                <w:rFonts w:hint="eastAsia"/>
                <w:color w:val="auto"/>
                <w:sz w:val="21"/>
                <w:szCs w:val="21"/>
                <w:highlight w:val="none"/>
                <w:lang w:val="en-US" w:eastAsia="zh-CN"/>
              </w:rPr>
              <w:t>详见竞争性谈判公告</w:t>
            </w:r>
          </w:p>
        </w:tc>
      </w:tr>
      <w:tr w14:paraId="6B2A7CE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55C8BF66">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4</w:t>
            </w:r>
          </w:p>
        </w:tc>
        <w:tc>
          <w:tcPr>
            <w:tcW w:w="2109" w:type="dxa"/>
            <w:tcBorders>
              <w:top w:val="single" w:color="auto" w:sz="4" w:space="0"/>
              <w:left w:val="single" w:color="auto" w:sz="4" w:space="0"/>
              <w:bottom w:val="single" w:color="auto" w:sz="4" w:space="0"/>
              <w:right w:val="single" w:color="auto" w:sz="4" w:space="0"/>
            </w:tcBorders>
            <w:vAlign w:val="center"/>
          </w:tcPr>
          <w:p w14:paraId="6B957B3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是否专门面向中小企业采购</w:t>
            </w:r>
          </w:p>
        </w:tc>
        <w:tc>
          <w:tcPr>
            <w:tcW w:w="6096" w:type="dxa"/>
            <w:tcBorders>
              <w:top w:val="single" w:color="auto" w:sz="4" w:space="0"/>
              <w:left w:val="single" w:color="auto" w:sz="4" w:space="0"/>
              <w:bottom w:val="single" w:color="auto" w:sz="4" w:space="0"/>
            </w:tcBorders>
            <w:vAlign w:val="center"/>
          </w:tcPr>
          <w:p w14:paraId="5BAAB4B6">
            <w:pPr>
              <w:pageBreakBefore w:val="0"/>
              <w:kinsoku/>
              <w:overflowPunct/>
              <w:topLinePunct w:val="0"/>
              <w:bidi w:val="0"/>
              <w:snapToGrid w:val="0"/>
              <w:spacing w:line="440" w:lineRule="exact"/>
              <w:rPr>
                <w:color w:val="auto"/>
                <w:highlight w:val="none"/>
              </w:rPr>
            </w:pPr>
            <w:r>
              <w:rPr>
                <w:rFonts w:hint="eastAsia" w:ascii="宋体" w:hAnsi="Wingdings"/>
                <w:kern w:val="0"/>
                <w:szCs w:val="20"/>
              </w:rPr>
              <w:sym w:font="Wingdings" w:char="00A8"/>
            </w:r>
            <w:r>
              <w:rPr>
                <w:rFonts w:hint="eastAsia" w:ascii="宋体" w:hAnsi="宋体" w:cs="宋体"/>
                <w:kern w:val="0"/>
              </w:rPr>
              <w:t>是</w:t>
            </w:r>
            <w:r>
              <w:rPr>
                <w:rFonts w:ascii="宋体" w:hAnsi="宋体" w:cs="宋体"/>
                <w:kern w:val="0"/>
              </w:rPr>
              <w:t xml:space="preserve">  </w:t>
            </w:r>
            <w:r>
              <w:rPr>
                <w:rFonts w:hint="eastAsia" w:ascii="宋体" w:hAnsi="Wingdings"/>
                <w:kern w:val="0"/>
                <w:szCs w:val="20"/>
              </w:rPr>
              <w:sym w:font="Wingdings" w:char="00FE"/>
            </w:r>
            <w:r>
              <w:rPr>
                <w:rFonts w:ascii="宋体" w:hAnsi="宋体" w:cs="宋体"/>
                <w:kern w:val="0"/>
              </w:rPr>
              <w:t xml:space="preserve"> </w:t>
            </w:r>
            <w:r>
              <w:rPr>
                <w:rFonts w:hint="eastAsia" w:ascii="宋体" w:hAnsi="宋体" w:cs="宋体"/>
                <w:kern w:val="0"/>
              </w:rPr>
              <w:t>否</w:t>
            </w:r>
          </w:p>
        </w:tc>
      </w:tr>
      <w:tr w14:paraId="2B16EC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40FC5B9B">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5</w:t>
            </w:r>
          </w:p>
        </w:tc>
        <w:tc>
          <w:tcPr>
            <w:tcW w:w="2109" w:type="dxa"/>
            <w:tcBorders>
              <w:top w:val="single" w:color="auto" w:sz="4" w:space="0"/>
              <w:left w:val="single" w:color="auto" w:sz="4" w:space="0"/>
              <w:bottom w:val="single" w:color="auto" w:sz="4" w:space="0"/>
              <w:right w:val="single" w:color="auto" w:sz="4" w:space="0"/>
            </w:tcBorders>
            <w:vAlign w:val="center"/>
          </w:tcPr>
          <w:p w14:paraId="7DFAA950">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包别划分</w:t>
            </w:r>
          </w:p>
        </w:tc>
        <w:tc>
          <w:tcPr>
            <w:tcW w:w="6096" w:type="dxa"/>
            <w:tcBorders>
              <w:top w:val="single" w:color="auto" w:sz="4" w:space="0"/>
              <w:left w:val="single" w:color="auto" w:sz="4" w:space="0"/>
              <w:bottom w:val="single" w:color="auto" w:sz="4" w:space="0"/>
            </w:tcBorders>
            <w:vAlign w:val="center"/>
          </w:tcPr>
          <w:p w14:paraId="27DAED48">
            <w:pPr>
              <w:pageBreakBefore w:val="0"/>
              <w:kinsoku/>
              <w:overflowPunct/>
              <w:topLinePunct w:val="0"/>
              <w:bidi w:val="0"/>
              <w:snapToGrid w:val="0"/>
              <w:spacing w:line="440" w:lineRule="exact"/>
              <w:rPr>
                <w:rFonts w:hint="default" w:eastAsia="宋体"/>
                <w:color w:val="auto"/>
                <w:szCs w:val="21"/>
                <w:highlight w:val="none"/>
                <w:lang w:val="en-US" w:eastAsia="zh-CN"/>
              </w:rPr>
            </w:pPr>
            <w:r>
              <w:rPr>
                <w:rFonts w:hint="eastAsia"/>
                <w:color w:val="auto"/>
                <w:szCs w:val="21"/>
                <w:highlight w:val="none"/>
                <w:lang w:val="en-US" w:eastAsia="zh-CN"/>
              </w:rPr>
              <w:t>一个包</w:t>
            </w:r>
          </w:p>
        </w:tc>
      </w:tr>
      <w:tr w14:paraId="76A5BF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689F63B7">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6</w:t>
            </w:r>
          </w:p>
        </w:tc>
        <w:tc>
          <w:tcPr>
            <w:tcW w:w="2109" w:type="dxa"/>
            <w:tcBorders>
              <w:top w:val="single" w:color="auto" w:sz="4" w:space="0"/>
              <w:left w:val="single" w:color="auto" w:sz="4" w:space="0"/>
              <w:bottom w:val="single" w:color="auto" w:sz="4" w:space="0"/>
              <w:right w:val="single" w:color="auto" w:sz="4" w:space="0"/>
            </w:tcBorders>
            <w:vAlign w:val="center"/>
          </w:tcPr>
          <w:p w14:paraId="7A5745F4">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eastAsia="zh-CN"/>
              </w:rPr>
              <w:t>谈判</w:t>
            </w:r>
            <w:r>
              <w:rPr>
                <w:rFonts w:hint="eastAsia" w:ascii="宋体" w:hAnsi="宋体" w:eastAsia="宋体"/>
                <w:strike w:val="0"/>
                <w:dstrike w:val="0"/>
                <w:color w:val="auto"/>
                <w:sz w:val="21"/>
                <w:szCs w:val="21"/>
                <w:highlight w:val="none"/>
              </w:rPr>
              <w:t>有效期</w:t>
            </w:r>
          </w:p>
        </w:tc>
        <w:tc>
          <w:tcPr>
            <w:tcW w:w="6096" w:type="dxa"/>
            <w:tcBorders>
              <w:top w:val="single" w:color="auto" w:sz="4" w:space="0"/>
              <w:left w:val="single" w:color="auto" w:sz="4" w:space="0"/>
              <w:bottom w:val="single" w:color="auto" w:sz="4" w:space="0"/>
            </w:tcBorders>
            <w:vAlign w:val="center"/>
          </w:tcPr>
          <w:p w14:paraId="40E67EAD">
            <w:pPr>
              <w:pageBreakBefore w:val="0"/>
              <w:kinsoku/>
              <w:overflowPunct/>
              <w:topLinePunct w:val="0"/>
              <w:bidi w:val="0"/>
              <w:snapToGrid w:val="0"/>
              <w:spacing w:line="440" w:lineRule="exact"/>
              <w:ind w:left="-2" w:leftChars="-1" w:firstLine="2"/>
              <w:rPr>
                <w:rFonts w:ascii="宋体"/>
                <w:color w:val="auto"/>
                <w:szCs w:val="21"/>
                <w:highlight w:val="none"/>
              </w:rPr>
            </w:pPr>
            <w:r>
              <w:rPr>
                <w:rFonts w:hint="eastAsia" w:ascii="宋体" w:hAnsi="宋体"/>
                <w:color w:val="auto"/>
                <w:szCs w:val="21"/>
                <w:highlight w:val="none"/>
                <w:u w:val="single"/>
                <w:lang w:val="en-US" w:eastAsia="zh-CN"/>
              </w:rPr>
              <w:t>90</w:t>
            </w:r>
            <w:r>
              <w:rPr>
                <w:rFonts w:ascii="宋体" w:hAnsi="宋体"/>
                <w:color w:val="auto"/>
                <w:szCs w:val="21"/>
                <w:highlight w:val="none"/>
                <w:u w:val="single"/>
              </w:rPr>
              <w:t>日历天</w:t>
            </w:r>
            <w:r>
              <w:rPr>
                <w:rFonts w:hint="eastAsia" w:ascii="宋体" w:hAnsi="宋体"/>
                <w:color w:val="auto"/>
                <w:szCs w:val="21"/>
                <w:highlight w:val="none"/>
                <w:u w:val="single"/>
              </w:rPr>
              <w:t>（从响应文件提交截止时间算起）</w:t>
            </w:r>
          </w:p>
        </w:tc>
      </w:tr>
      <w:tr w14:paraId="68CD23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2B64B6B4">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7</w:t>
            </w:r>
          </w:p>
        </w:tc>
        <w:tc>
          <w:tcPr>
            <w:tcW w:w="2109" w:type="dxa"/>
            <w:tcBorders>
              <w:top w:val="single" w:color="auto" w:sz="4" w:space="0"/>
              <w:left w:val="single" w:color="auto" w:sz="4" w:space="0"/>
              <w:bottom w:val="single" w:color="auto" w:sz="4" w:space="0"/>
              <w:right w:val="single" w:color="auto" w:sz="4" w:space="0"/>
            </w:tcBorders>
            <w:vAlign w:val="center"/>
          </w:tcPr>
          <w:p w14:paraId="3A05A10E">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时间和地点</w:t>
            </w:r>
          </w:p>
        </w:tc>
        <w:tc>
          <w:tcPr>
            <w:tcW w:w="6096" w:type="dxa"/>
            <w:tcBorders>
              <w:top w:val="single" w:color="auto" w:sz="4" w:space="0"/>
              <w:left w:val="single" w:color="auto" w:sz="4" w:space="0"/>
              <w:bottom w:val="single" w:color="auto" w:sz="4" w:space="0"/>
            </w:tcBorders>
            <w:vAlign w:val="center"/>
          </w:tcPr>
          <w:p w14:paraId="1B1BDCEA">
            <w:pPr>
              <w:pageBreakBefore w:val="0"/>
              <w:kinsoku/>
              <w:overflowPunct/>
              <w:topLinePunct w:val="0"/>
              <w:bidi w:val="0"/>
              <w:snapToGrid w:val="0"/>
              <w:spacing w:line="440" w:lineRule="exact"/>
              <w:rPr>
                <w:rFonts w:ascii="宋体" w:hAnsi="宋体"/>
                <w:color w:val="auto"/>
                <w:szCs w:val="21"/>
                <w:highlight w:val="none"/>
              </w:rPr>
            </w:pPr>
            <w:r>
              <w:rPr>
                <w:rFonts w:hint="eastAsia" w:ascii="宋体"/>
                <w:b/>
                <w:bCs/>
                <w:color w:val="auto"/>
                <w:szCs w:val="21"/>
                <w:highlight w:val="none"/>
                <w:lang w:val="en-US" w:eastAsia="zh-CN"/>
              </w:rPr>
              <w:t>详见竞争性谈判公告（同响应文件提交截止时间）</w:t>
            </w:r>
          </w:p>
        </w:tc>
      </w:tr>
      <w:tr w14:paraId="3368F4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55D3647A">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8</w:t>
            </w:r>
          </w:p>
        </w:tc>
        <w:tc>
          <w:tcPr>
            <w:tcW w:w="2109" w:type="dxa"/>
            <w:tcBorders>
              <w:top w:val="single" w:color="auto" w:sz="4" w:space="0"/>
              <w:left w:val="single" w:color="auto" w:sz="4" w:space="0"/>
              <w:bottom w:val="single" w:color="auto" w:sz="4" w:space="0"/>
              <w:right w:val="single" w:color="auto" w:sz="4" w:space="0"/>
            </w:tcBorders>
            <w:vAlign w:val="top"/>
          </w:tcPr>
          <w:p w14:paraId="2CA095B5">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lang w:val="en-US" w:eastAsia="zh-CN"/>
              </w:rPr>
            </w:pPr>
            <w:r>
              <w:rPr>
                <w:rFonts w:hint="eastAsia" w:ascii="宋体" w:hAnsi="宋体" w:eastAsia="宋体"/>
                <w:strike w:val="0"/>
                <w:dstrike w:val="0"/>
                <w:color w:val="auto"/>
                <w:sz w:val="21"/>
                <w:szCs w:val="21"/>
                <w:highlight w:val="none"/>
              </w:rPr>
              <w:t>评审方法</w:t>
            </w:r>
          </w:p>
        </w:tc>
        <w:tc>
          <w:tcPr>
            <w:tcW w:w="6096" w:type="dxa"/>
            <w:tcBorders>
              <w:top w:val="single" w:color="auto" w:sz="4" w:space="0"/>
              <w:left w:val="single" w:color="auto" w:sz="4" w:space="0"/>
              <w:bottom w:val="single" w:color="auto" w:sz="4" w:space="0"/>
            </w:tcBorders>
            <w:vAlign w:val="center"/>
          </w:tcPr>
          <w:p w14:paraId="214FC558">
            <w:pPr>
              <w:pageBreakBefore w:val="0"/>
              <w:kinsoku/>
              <w:overflowPunct/>
              <w:topLinePunct w:val="0"/>
              <w:bidi w:val="0"/>
              <w:snapToGrid w:val="0"/>
              <w:spacing w:line="440" w:lineRule="exact"/>
              <w:rPr>
                <w:rFonts w:hint="eastAsia" w:ascii="宋体" w:hAnsi="Times New Roman" w:eastAsia="宋体" w:cs="Times New Roman"/>
                <w:color w:val="auto"/>
                <w:kern w:val="2"/>
                <w:sz w:val="21"/>
                <w:szCs w:val="21"/>
                <w:highlight w:val="none"/>
                <w:lang w:val="en-US" w:eastAsia="zh-CN" w:bidi="ar-SA"/>
              </w:rPr>
            </w:pPr>
            <w:r>
              <w:rPr>
                <w:rFonts w:hint="eastAsia" w:ascii="宋体" w:hAnsi="宋体"/>
                <w:color w:val="auto"/>
                <w:szCs w:val="21"/>
                <w:highlight w:val="none"/>
                <w:lang w:val="en-US" w:eastAsia="zh-CN"/>
              </w:rPr>
              <w:t>最低评标价法</w:t>
            </w:r>
          </w:p>
        </w:tc>
      </w:tr>
      <w:tr w14:paraId="4382EB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tcBorders>
              <w:top w:val="single" w:color="auto" w:sz="4" w:space="0"/>
              <w:bottom w:val="single" w:color="auto" w:sz="4" w:space="0"/>
              <w:right w:val="single" w:color="auto" w:sz="4" w:space="0"/>
            </w:tcBorders>
            <w:vAlign w:val="center"/>
          </w:tcPr>
          <w:p w14:paraId="5E118BC7">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9</w:t>
            </w:r>
          </w:p>
        </w:tc>
        <w:tc>
          <w:tcPr>
            <w:tcW w:w="2109" w:type="dxa"/>
            <w:tcBorders>
              <w:top w:val="single" w:color="auto" w:sz="4" w:space="0"/>
              <w:left w:val="single" w:color="auto" w:sz="4" w:space="0"/>
              <w:bottom w:val="single" w:color="auto" w:sz="4" w:space="0"/>
              <w:right w:val="single" w:color="auto" w:sz="4" w:space="0"/>
            </w:tcBorders>
            <w:vAlign w:val="center"/>
          </w:tcPr>
          <w:p w14:paraId="1D7DDCCB">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媒介发布</w:t>
            </w:r>
          </w:p>
        </w:tc>
        <w:tc>
          <w:tcPr>
            <w:tcW w:w="6096" w:type="dxa"/>
            <w:tcBorders>
              <w:top w:val="single" w:color="auto" w:sz="4" w:space="0"/>
              <w:left w:val="single" w:color="auto" w:sz="4" w:space="0"/>
              <w:bottom w:val="single" w:color="auto" w:sz="4" w:space="0"/>
              <w:right w:val="single" w:color="auto" w:sz="4" w:space="0"/>
            </w:tcBorders>
            <w:vAlign w:val="center"/>
          </w:tcPr>
          <w:p w14:paraId="59A60AD4">
            <w:pPr>
              <w:pageBreakBefore w:val="0"/>
              <w:kinsoku/>
              <w:overflowPunct/>
              <w:topLinePunct w:val="0"/>
              <w:autoSpaceDE w:val="0"/>
              <w:autoSpaceDN w:val="0"/>
              <w:bidi w:val="0"/>
              <w:adjustRightInd w:val="0"/>
              <w:snapToGrid w:val="0"/>
              <w:spacing w:line="440" w:lineRule="exact"/>
              <w:jc w:val="left"/>
              <w:rPr>
                <w:rFonts w:hint="eastAsia"/>
                <w:color w:val="auto"/>
                <w:highlight w:val="none"/>
                <w:lang w:val="en-US" w:eastAsia="zh-CN"/>
              </w:rPr>
            </w:pPr>
            <w:r>
              <w:rPr>
                <w:rFonts w:hint="eastAsia" w:ascii="宋体" w:hAnsi="宋体" w:cs="宋体"/>
              </w:rPr>
              <w:t>本次竞争性</w:t>
            </w:r>
            <w:r>
              <w:rPr>
                <w:rFonts w:hint="eastAsia" w:ascii="宋体" w:hAnsi="宋体" w:cs="宋体"/>
                <w:lang w:val="en-US" w:eastAsia="zh-CN"/>
              </w:rPr>
              <w:t>谈判</w:t>
            </w:r>
            <w:r>
              <w:rPr>
                <w:rFonts w:hint="eastAsia" w:ascii="宋体" w:hAnsi="宋体" w:cs="宋体"/>
              </w:rPr>
              <w:t>公告在</w:t>
            </w:r>
            <w:r>
              <w:rPr>
                <w:rFonts w:hint="eastAsia" w:ascii="宋体" w:hAnsi="宋体" w:cs="宋体"/>
                <w:lang w:val="en-US" w:eastAsia="zh-CN"/>
              </w:rPr>
              <w:t>桐城师范高等专科学校官网</w:t>
            </w:r>
            <w:r>
              <w:rPr>
                <w:rFonts w:hint="eastAsia" w:ascii="宋体" w:hAnsi="宋体" w:cs="宋体"/>
              </w:rPr>
              <w:t>上发布和推送</w:t>
            </w:r>
          </w:p>
        </w:tc>
      </w:tr>
      <w:tr w14:paraId="7B3513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vMerge w:val="restart"/>
            <w:tcBorders>
              <w:top w:val="single" w:color="auto" w:sz="4" w:space="0"/>
              <w:right w:val="single" w:color="auto" w:sz="4" w:space="0"/>
            </w:tcBorders>
            <w:vAlign w:val="center"/>
          </w:tcPr>
          <w:p w14:paraId="76F0B51F">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10</w:t>
            </w:r>
          </w:p>
        </w:tc>
        <w:tc>
          <w:tcPr>
            <w:tcW w:w="2109" w:type="dxa"/>
            <w:tcBorders>
              <w:top w:val="single" w:color="auto" w:sz="4" w:space="0"/>
              <w:left w:val="single" w:color="auto" w:sz="4" w:space="0"/>
              <w:bottom w:val="single" w:color="auto" w:sz="4" w:space="0"/>
              <w:right w:val="single" w:color="auto" w:sz="4" w:space="0"/>
            </w:tcBorders>
            <w:vAlign w:val="center"/>
          </w:tcPr>
          <w:p w14:paraId="297A109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lang w:val="en-US" w:eastAsia="zh-CN"/>
              </w:rPr>
              <w:t>谈判</w:t>
            </w:r>
            <w:r>
              <w:rPr>
                <w:rFonts w:hint="eastAsia" w:ascii="宋体" w:hAnsi="宋体" w:eastAsia="宋体"/>
                <w:strike w:val="0"/>
                <w:dstrike w:val="0"/>
                <w:color w:val="auto"/>
                <w:sz w:val="21"/>
                <w:szCs w:val="21"/>
                <w:highlight w:val="none"/>
              </w:rPr>
              <w:t>保证金</w:t>
            </w:r>
          </w:p>
        </w:tc>
        <w:tc>
          <w:tcPr>
            <w:tcW w:w="6096" w:type="dxa"/>
            <w:tcBorders>
              <w:top w:val="single" w:color="auto" w:sz="4" w:space="0"/>
              <w:left w:val="single" w:color="auto" w:sz="4" w:space="0"/>
              <w:bottom w:val="single" w:color="auto" w:sz="4" w:space="0"/>
            </w:tcBorders>
            <w:vAlign w:val="center"/>
          </w:tcPr>
          <w:p w14:paraId="39520AC8">
            <w:pPr>
              <w:pageBreakBefore w:val="0"/>
              <w:kinsoku/>
              <w:overflowPunct/>
              <w:topLinePunct w:val="0"/>
              <w:bidi w:val="0"/>
              <w:snapToGrid w:val="0"/>
              <w:spacing w:line="440" w:lineRule="exact"/>
              <w:rPr>
                <w:rFonts w:hint="eastAsia" w:ascii="宋体" w:hAnsi="宋体"/>
                <w:strike w:val="0"/>
                <w:dstrike w:val="0"/>
                <w:color w:val="auto"/>
                <w:szCs w:val="21"/>
                <w:highlight w:val="none"/>
              </w:rPr>
            </w:pPr>
            <w:r>
              <w:rPr>
                <w:rFonts w:hint="eastAsia" w:ascii="宋体"/>
                <w:strike w:val="0"/>
                <w:dstrike w:val="0"/>
                <w:color w:val="auto"/>
                <w:szCs w:val="21"/>
                <w:highlight w:val="none"/>
              </w:rPr>
              <w:t>本项目免收</w:t>
            </w:r>
          </w:p>
        </w:tc>
      </w:tr>
      <w:tr w14:paraId="79B560A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893" w:type="dxa"/>
            <w:vMerge w:val="continue"/>
            <w:tcBorders>
              <w:bottom w:val="single" w:color="auto" w:sz="4" w:space="0"/>
              <w:right w:val="single" w:color="auto" w:sz="4" w:space="0"/>
            </w:tcBorders>
            <w:vAlign w:val="center"/>
          </w:tcPr>
          <w:p w14:paraId="499A9891">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p>
        </w:tc>
        <w:tc>
          <w:tcPr>
            <w:tcW w:w="2109" w:type="dxa"/>
            <w:tcBorders>
              <w:top w:val="single" w:color="auto" w:sz="4" w:space="0"/>
              <w:left w:val="single" w:color="auto" w:sz="4" w:space="0"/>
              <w:bottom w:val="single" w:color="auto" w:sz="4" w:space="0"/>
              <w:right w:val="single" w:color="auto" w:sz="4" w:space="0"/>
            </w:tcBorders>
            <w:vAlign w:val="center"/>
          </w:tcPr>
          <w:p w14:paraId="3D5CB917">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履约保证金</w:t>
            </w:r>
          </w:p>
        </w:tc>
        <w:tc>
          <w:tcPr>
            <w:tcW w:w="6096" w:type="dxa"/>
            <w:tcBorders>
              <w:top w:val="single" w:color="auto" w:sz="4" w:space="0"/>
              <w:left w:val="single" w:color="auto" w:sz="4" w:space="0"/>
              <w:bottom w:val="single" w:color="auto" w:sz="4" w:space="0"/>
            </w:tcBorders>
            <w:vAlign w:val="center"/>
          </w:tcPr>
          <w:p w14:paraId="231FF9FC">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eastAsia="宋体"/>
                <w:color w:val="auto"/>
                <w:highlight w:val="none"/>
                <w:lang w:val="en-US" w:eastAsia="zh-CN"/>
              </w:rPr>
            </w:pPr>
            <w:r>
              <w:rPr>
                <w:rFonts w:hint="eastAsia"/>
                <w:color w:val="auto"/>
                <w:highlight w:val="none"/>
                <w:lang w:val="en-US" w:eastAsia="zh-CN"/>
              </w:rPr>
              <w:t>无</w:t>
            </w:r>
          </w:p>
        </w:tc>
      </w:tr>
      <w:tr w14:paraId="567BC73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893" w:type="dxa"/>
            <w:tcBorders>
              <w:top w:val="single" w:color="auto" w:sz="4" w:space="0"/>
              <w:bottom w:val="single" w:color="auto" w:sz="4" w:space="0"/>
              <w:right w:val="single" w:color="auto" w:sz="4" w:space="0"/>
            </w:tcBorders>
            <w:vAlign w:val="center"/>
          </w:tcPr>
          <w:p w14:paraId="1E6535EA">
            <w:pPr>
              <w:keepNext w:val="0"/>
              <w:keepLines w:val="0"/>
              <w:pageBreakBefore w:val="0"/>
              <w:widowControl/>
              <w:suppressLineNumbers w:val="0"/>
              <w:kinsoku/>
              <w:overflowPunct/>
              <w:topLinePunct w:val="0"/>
              <w:bidi w:val="0"/>
              <w:snapToGrid w:val="0"/>
              <w:spacing w:line="440" w:lineRule="exact"/>
              <w:jc w:val="center"/>
              <w:rPr>
                <w:rFonts w:hint="default" w:ascii="宋体" w:hAnsi="宋体" w:eastAsia="宋体"/>
                <w:b/>
                <w:bCs/>
                <w:strike w:val="0"/>
                <w:dstrike w:val="0"/>
                <w:color w:val="auto"/>
                <w:sz w:val="21"/>
                <w:szCs w:val="21"/>
                <w:highlight w:val="none"/>
                <w:lang w:val="en-US" w:eastAsia="zh-CN"/>
              </w:rPr>
            </w:pPr>
            <w:r>
              <w:rPr>
                <w:rFonts w:hint="eastAsia" w:ascii="宋体" w:hAnsi="宋体"/>
                <w:b/>
                <w:bCs/>
                <w:strike w:val="0"/>
                <w:dstrike w:val="0"/>
                <w:color w:val="auto"/>
                <w:sz w:val="21"/>
                <w:szCs w:val="21"/>
                <w:highlight w:val="none"/>
                <w:lang w:val="en-US" w:eastAsia="zh-CN"/>
              </w:rPr>
              <w:t>11</w:t>
            </w:r>
          </w:p>
        </w:tc>
        <w:tc>
          <w:tcPr>
            <w:tcW w:w="2109" w:type="dxa"/>
            <w:tcBorders>
              <w:top w:val="single" w:color="auto" w:sz="4" w:space="0"/>
              <w:left w:val="single" w:color="auto" w:sz="4" w:space="0"/>
              <w:bottom w:val="single" w:color="auto" w:sz="4" w:space="0"/>
              <w:right w:val="single" w:color="auto" w:sz="4" w:space="0"/>
            </w:tcBorders>
            <w:vAlign w:val="center"/>
          </w:tcPr>
          <w:p w14:paraId="5E53361D">
            <w:pPr>
              <w:keepNext w:val="0"/>
              <w:keepLines w:val="0"/>
              <w:pageBreakBefore w:val="0"/>
              <w:widowControl/>
              <w:suppressLineNumbers w:val="0"/>
              <w:kinsoku/>
              <w:overflowPunct/>
              <w:topLinePunct w:val="0"/>
              <w:bidi w:val="0"/>
              <w:snapToGrid w:val="0"/>
              <w:spacing w:line="440" w:lineRule="exact"/>
              <w:jc w:val="center"/>
              <w:rPr>
                <w:rFonts w:hint="eastAsia" w:ascii="宋体" w:hAnsi="宋体" w:eastAsia="宋体"/>
                <w:strike w:val="0"/>
                <w:dstrike w:val="0"/>
                <w:color w:val="auto"/>
                <w:sz w:val="21"/>
                <w:szCs w:val="21"/>
                <w:highlight w:val="none"/>
              </w:rPr>
            </w:pPr>
            <w:r>
              <w:rPr>
                <w:rFonts w:hint="eastAsia" w:ascii="宋体" w:hAnsi="宋体" w:eastAsia="宋体"/>
                <w:strike w:val="0"/>
                <w:dstrike w:val="0"/>
                <w:color w:val="auto"/>
                <w:sz w:val="21"/>
                <w:szCs w:val="21"/>
                <w:highlight w:val="none"/>
              </w:rPr>
              <w:t>说明</w:t>
            </w:r>
          </w:p>
        </w:tc>
        <w:tc>
          <w:tcPr>
            <w:tcW w:w="6096" w:type="dxa"/>
            <w:tcBorders>
              <w:top w:val="single" w:color="auto" w:sz="4" w:space="0"/>
              <w:left w:val="single" w:color="auto" w:sz="4" w:space="0"/>
              <w:bottom w:val="single" w:color="auto" w:sz="4" w:space="0"/>
            </w:tcBorders>
            <w:vAlign w:val="center"/>
          </w:tcPr>
          <w:p w14:paraId="2EDA549A">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lang w:val="en-US" w:eastAsia="zh-CN"/>
              </w:rPr>
              <w:t>1、</w:t>
            </w:r>
            <w:r>
              <w:rPr>
                <w:rFonts w:hint="eastAsia" w:ascii="宋体" w:hAnsi="宋体" w:cs="宋体"/>
                <w:color w:val="auto"/>
                <w:highlight w:val="none"/>
              </w:rPr>
              <w:t>本</w:t>
            </w:r>
            <w:r>
              <w:rPr>
                <w:rFonts w:hint="eastAsia" w:ascii="宋体" w:hAnsi="宋体" w:cs="宋体"/>
                <w:color w:val="auto"/>
                <w:highlight w:val="none"/>
                <w:lang w:val="en-US" w:eastAsia="zh-CN"/>
              </w:rPr>
              <w:t>竞争性</w:t>
            </w:r>
            <w:r>
              <w:rPr>
                <w:rFonts w:hint="eastAsia" w:ascii="宋体" w:hAnsi="宋体" w:cs="宋体"/>
                <w:color w:val="auto"/>
                <w:highlight w:val="none"/>
                <w:lang w:eastAsia="zh-CN"/>
              </w:rPr>
              <w:t>谈判</w:t>
            </w:r>
            <w:r>
              <w:rPr>
                <w:rFonts w:hint="eastAsia" w:ascii="宋体" w:hAnsi="宋体" w:cs="宋体"/>
                <w:color w:val="auto"/>
                <w:highlight w:val="none"/>
              </w:rPr>
              <w:t>文件的解释权归采购单位。</w:t>
            </w:r>
          </w:p>
          <w:p w14:paraId="7986B8B5">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lang w:val="en-US" w:eastAsia="zh-CN"/>
              </w:rPr>
              <w:t>2、</w:t>
            </w:r>
            <w:r>
              <w:rPr>
                <w:rFonts w:hint="eastAsia" w:ascii="宋体" w:hAnsi="宋体" w:cs="宋体"/>
                <w:color w:val="auto"/>
                <w:highlight w:val="none"/>
              </w:rPr>
              <w:t>本项目若涉及到专业分包工程，如</w:t>
            </w:r>
            <w:r>
              <w:rPr>
                <w:rFonts w:hint="eastAsia" w:ascii="宋体" w:hAnsi="宋体" w:cs="宋体"/>
                <w:color w:val="auto"/>
                <w:highlight w:val="none"/>
                <w:lang w:val="en-US" w:eastAsia="zh-CN"/>
              </w:rPr>
              <w:t>成交</w:t>
            </w:r>
            <w:r>
              <w:rPr>
                <w:rFonts w:hint="eastAsia" w:ascii="宋体" w:hAnsi="宋体" w:cs="宋体"/>
                <w:color w:val="auto"/>
                <w:highlight w:val="none"/>
              </w:rPr>
              <w:t>人没有相应资质，则</w:t>
            </w:r>
          </w:p>
          <w:p w14:paraId="577511D9">
            <w:pPr>
              <w:pageBreakBefore w:val="0"/>
              <w:kinsoku/>
              <w:overflowPunct/>
              <w:topLinePunct w:val="0"/>
              <w:bidi w:val="0"/>
              <w:snapToGrid w:val="0"/>
              <w:spacing w:line="440" w:lineRule="exact"/>
              <w:rPr>
                <w:rFonts w:hint="eastAsia" w:ascii="宋体" w:hAnsi="宋体" w:cs="宋体"/>
                <w:color w:val="auto"/>
                <w:highlight w:val="none"/>
              </w:rPr>
            </w:pPr>
            <w:r>
              <w:rPr>
                <w:rFonts w:hint="eastAsia" w:ascii="宋体" w:hAnsi="宋体" w:cs="宋体"/>
                <w:color w:val="auto"/>
                <w:highlight w:val="none"/>
              </w:rPr>
              <w:t>必须委托有资质的单位实施。该专业分包单位的选定须事先征得采购人同意。</w:t>
            </w:r>
          </w:p>
          <w:p w14:paraId="083A0560">
            <w:pPr>
              <w:pageBreakBefore w:val="0"/>
              <w:kinsoku/>
              <w:overflowPunct/>
              <w:topLinePunct w:val="0"/>
              <w:bidi w:val="0"/>
              <w:snapToGrid w:val="0"/>
              <w:spacing w:line="440" w:lineRule="exact"/>
              <w:rPr>
                <w:rFonts w:ascii="宋体" w:hAnsi="宋体" w:cs="宋体"/>
                <w:b/>
                <w:color w:val="auto"/>
                <w:szCs w:val="21"/>
                <w:highlight w:val="none"/>
              </w:rPr>
            </w:pPr>
            <w:r>
              <w:rPr>
                <w:rFonts w:hint="eastAsia" w:ascii="宋体" w:hAnsi="宋体" w:cs="宋体"/>
                <w:b/>
                <w:color w:val="auto"/>
                <w:szCs w:val="21"/>
                <w:highlight w:val="none"/>
                <w:lang w:val="en-US" w:eastAsia="zh-CN"/>
              </w:rPr>
              <w:t>3</w:t>
            </w:r>
            <w:r>
              <w:rPr>
                <w:rFonts w:hint="eastAsia" w:ascii="宋体" w:hAnsi="宋体" w:cs="宋体"/>
                <w:b/>
                <w:color w:val="auto"/>
                <w:szCs w:val="21"/>
                <w:highlight w:val="none"/>
              </w:rPr>
              <w:t>、本项目所要求的业绩均须为中华人民共和国境内业绩（不含港澳台地区），成交供应商经</w:t>
            </w:r>
            <w:r>
              <w:rPr>
                <w:rFonts w:hint="eastAsia" w:ascii="宋体" w:hAnsi="宋体" w:cs="宋体"/>
                <w:b/>
                <w:color w:val="auto"/>
                <w:szCs w:val="21"/>
                <w:highlight w:val="none"/>
                <w:lang w:eastAsia="zh-CN"/>
              </w:rPr>
              <w:t>谈判</w:t>
            </w:r>
            <w:r>
              <w:rPr>
                <w:rFonts w:hint="eastAsia" w:ascii="宋体" w:hAnsi="宋体" w:cs="宋体"/>
                <w:b/>
                <w:color w:val="auto"/>
                <w:szCs w:val="21"/>
                <w:highlight w:val="none"/>
              </w:rPr>
              <w:t>小组评审认可的相关业绩、</w:t>
            </w:r>
            <w:r>
              <w:rPr>
                <w:rFonts w:hint="eastAsia" w:ascii="宋体" w:hAnsi="宋体" w:cs="宋体"/>
                <w:b/>
                <w:strike w:val="0"/>
                <w:dstrike w:val="0"/>
                <w:color w:val="auto"/>
                <w:szCs w:val="21"/>
                <w:highlight w:val="none"/>
              </w:rPr>
              <w:t>奖项、证书</w:t>
            </w:r>
            <w:r>
              <w:rPr>
                <w:rFonts w:hint="eastAsia" w:ascii="宋体" w:hAnsi="宋体" w:cs="宋体"/>
                <w:b/>
                <w:strike w:val="0"/>
                <w:color w:val="auto"/>
                <w:szCs w:val="21"/>
                <w:highlight w:val="none"/>
              </w:rPr>
              <w:t>将在</w:t>
            </w:r>
            <w:r>
              <w:rPr>
                <w:rFonts w:hint="eastAsia" w:ascii="宋体" w:hAnsi="宋体" w:cs="宋体"/>
                <w:b/>
                <w:strike w:val="0"/>
                <w:color w:val="auto"/>
                <w:szCs w:val="21"/>
                <w:highlight w:val="none"/>
                <w:lang w:val="en-US" w:eastAsia="zh-CN"/>
              </w:rPr>
              <w:t>桐城师范高等专科学校官</w:t>
            </w:r>
            <w:r>
              <w:rPr>
                <w:rFonts w:hint="eastAsia" w:ascii="宋体" w:hAnsi="宋体" w:cs="宋体"/>
                <w:b/>
                <w:strike w:val="0"/>
                <w:color w:val="auto"/>
                <w:szCs w:val="21"/>
                <w:highlight w:val="none"/>
              </w:rPr>
              <w:t>网公告（如</w:t>
            </w:r>
            <w:r>
              <w:rPr>
                <w:rFonts w:hint="eastAsia" w:ascii="宋体" w:hAnsi="宋体" w:cs="宋体"/>
                <w:b/>
                <w:strike w:val="0"/>
                <w:color w:val="auto"/>
                <w:szCs w:val="21"/>
                <w:highlight w:val="none"/>
                <w:lang w:val="en-US" w:eastAsia="zh-CN"/>
              </w:rPr>
              <w:t>响应人</w:t>
            </w:r>
            <w:r>
              <w:rPr>
                <w:rFonts w:hint="eastAsia" w:ascii="宋体" w:hAnsi="宋体" w:cs="宋体"/>
                <w:b/>
                <w:strike w:val="0"/>
                <w:color w:val="auto"/>
                <w:szCs w:val="21"/>
                <w:highlight w:val="none"/>
              </w:rPr>
              <w:t>相关</w:t>
            </w:r>
            <w:r>
              <w:rPr>
                <w:rFonts w:hint="eastAsia" w:ascii="宋体" w:hAnsi="宋体" w:cs="宋体"/>
                <w:b/>
                <w:strike w:val="0"/>
                <w:color w:val="auto"/>
                <w:szCs w:val="21"/>
                <w:highlight w:val="none"/>
                <w:lang w:eastAsia="zh-CN"/>
              </w:rPr>
              <w:t>业绩、奖项</w:t>
            </w:r>
            <w:r>
              <w:rPr>
                <w:rFonts w:hint="eastAsia" w:ascii="宋体" w:hAnsi="宋体" w:cs="宋体"/>
                <w:b/>
                <w:strike w:val="0"/>
                <w:dstrike w:val="0"/>
                <w:color w:val="auto"/>
                <w:szCs w:val="21"/>
                <w:highlight w:val="none"/>
              </w:rPr>
              <w:t>、证书</w:t>
            </w:r>
            <w:r>
              <w:rPr>
                <w:rFonts w:hint="eastAsia" w:ascii="宋体" w:hAnsi="宋体" w:cs="宋体"/>
                <w:b/>
                <w:color w:val="auto"/>
                <w:szCs w:val="21"/>
                <w:highlight w:val="none"/>
              </w:rPr>
              <w:t>属于涉密的，</w:t>
            </w:r>
            <w:r>
              <w:rPr>
                <w:rFonts w:hint="eastAsia" w:ascii="宋体" w:hAnsi="宋体" w:cs="宋体"/>
                <w:b/>
                <w:color w:val="auto"/>
                <w:szCs w:val="21"/>
                <w:highlight w:val="none"/>
                <w:lang w:val="en-US" w:eastAsia="zh-CN"/>
              </w:rPr>
              <w:t>响应人</w:t>
            </w:r>
            <w:r>
              <w:rPr>
                <w:rFonts w:hint="eastAsia" w:ascii="宋体" w:hAnsi="宋体" w:cs="宋体"/>
                <w:b/>
                <w:color w:val="auto"/>
                <w:szCs w:val="21"/>
                <w:highlight w:val="none"/>
              </w:rPr>
              <w:t>须在响应文件中进行说明，</w:t>
            </w:r>
            <w:r>
              <w:rPr>
                <w:rFonts w:hint="eastAsia" w:ascii="宋体" w:hAnsi="宋体" w:cs="宋体"/>
                <w:b/>
                <w:color w:val="auto"/>
                <w:szCs w:val="21"/>
                <w:highlight w:val="none"/>
                <w:lang w:val="en-US" w:eastAsia="zh-CN"/>
              </w:rPr>
              <w:t>标注出业绩、奖项、证书中涉密部分</w:t>
            </w:r>
            <w:r>
              <w:rPr>
                <w:rFonts w:hint="eastAsia" w:ascii="宋体" w:hAnsi="宋体" w:cs="宋体"/>
                <w:b/>
                <w:color w:val="auto"/>
                <w:szCs w:val="21"/>
                <w:highlight w:val="none"/>
              </w:rPr>
              <w:t>，</w:t>
            </w:r>
            <w:r>
              <w:rPr>
                <w:rFonts w:hint="eastAsia" w:ascii="宋体" w:hAnsi="宋体" w:cs="宋体"/>
                <w:b/>
                <w:color w:val="auto"/>
                <w:szCs w:val="21"/>
                <w:highlight w:val="none"/>
                <w:lang w:val="en-US" w:eastAsia="zh-CN"/>
              </w:rPr>
              <w:t>则该业绩、奖项、证书中</w:t>
            </w:r>
            <w:r>
              <w:rPr>
                <w:rFonts w:hint="eastAsia" w:ascii="宋体" w:hAnsi="宋体" w:cs="宋体"/>
                <w:b/>
                <w:color w:val="auto"/>
                <w:szCs w:val="21"/>
                <w:highlight w:val="none"/>
              </w:rPr>
              <w:t>涉密部分不予公告）。</w:t>
            </w:r>
          </w:p>
          <w:p w14:paraId="53DC152A">
            <w:pPr>
              <w:pageBreakBefore w:val="0"/>
              <w:kinsoku/>
              <w:overflowPunct/>
              <w:topLinePunct w:val="0"/>
              <w:bidi w:val="0"/>
              <w:snapToGrid w:val="0"/>
              <w:spacing w:line="440" w:lineRule="exact"/>
              <w:rPr>
                <w:rFonts w:ascii="宋体"/>
                <w:color w:val="auto"/>
                <w:szCs w:val="21"/>
                <w:highlight w:val="none"/>
              </w:rPr>
            </w:pPr>
            <w:r>
              <w:rPr>
                <w:rFonts w:hint="default" w:ascii="宋体" w:hAnsi="宋体" w:cs="宋体"/>
                <w:color w:val="auto"/>
                <w:highlight w:val="none"/>
                <w:lang w:val="en-US"/>
              </w:rPr>
              <w:t>4</w:t>
            </w:r>
            <w:r>
              <w:rPr>
                <w:rFonts w:hint="eastAsia" w:ascii="宋体" w:hAnsi="宋体" w:cs="宋体"/>
                <w:color w:val="auto"/>
                <w:highlight w:val="none"/>
              </w:rPr>
              <w:t>、依据《政府采购促进中小企业发展管理办法》</w:t>
            </w:r>
            <w:r>
              <w:rPr>
                <w:rFonts w:ascii="宋体" w:hAnsi="宋体" w:cs="宋体"/>
                <w:color w:val="auto"/>
                <w:highlight w:val="none"/>
              </w:rPr>
              <w:t>（财库[2020]46号）</w:t>
            </w:r>
            <w:r>
              <w:rPr>
                <w:rFonts w:hint="eastAsia" w:ascii="宋体" w:hAnsi="宋体" w:cs="宋体"/>
                <w:color w:val="auto"/>
                <w:highlight w:val="none"/>
              </w:rPr>
              <w:t>规定享受扶持政策获得政府采购合同的，小微企业不得将合同分包给大中型企业，中型企业不得将合同分包给大型企业。</w:t>
            </w:r>
          </w:p>
        </w:tc>
      </w:tr>
    </w:tbl>
    <w:p w14:paraId="52233DA8">
      <w:pPr>
        <w:rPr>
          <w:rFonts w:ascii="宋体" w:hAnsi="宋体"/>
          <w:color w:val="auto"/>
          <w:kern w:val="0"/>
          <w:highlight w:val="none"/>
          <w:lang w:val="zh-CN"/>
        </w:rPr>
      </w:pPr>
      <w:bookmarkStart w:id="47" w:name="_Toc439316872"/>
      <w:r>
        <w:rPr>
          <w:color w:val="auto"/>
          <w:kern w:val="0"/>
          <w:highlight w:val="none"/>
          <w:lang w:val="zh-CN"/>
        </w:rPr>
        <w:br w:type="page"/>
      </w:r>
    </w:p>
    <w:p w14:paraId="62EEFFFA">
      <w:pPr>
        <w:pStyle w:val="3"/>
        <w:pageBreakBefore w:val="0"/>
        <w:kinsoku/>
        <w:overflowPunct/>
        <w:topLinePunct w:val="0"/>
        <w:bidi w:val="0"/>
        <w:spacing w:before="0" w:beforeAutospacing="0" w:after="0" w:afterAutospacing="0" w:line="240" w:lineRule="auto"/>
        <w:ind w:left="0" w:leftChars="0" w:firstLine="640" w:firstLineChars="200"/>
        <w:textAlignment w:val="auto"/>
        <w:rPr>
          <w:rFonts w:cs="Tahoma"/>
          <w:bCs/>
          <w:color w:val="auto"/>
          <w:kern w:val="0"/>
          <w:sz w:val="32"/>
          <w:szCs w:val="32"/>
          <w:highlight w:val="none"/>
          <w:lang w:val="zh-CN"/>
        </w:rPr>
      </w:pPr>
      <w:bookmarkStart w:id="48" w:name="_Toc54941331"/>
      <w:bookmarkStart w:id="49" w:name="_Toc252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47"/>
      <w:bookmarkEnd w:id="48"/>
      <w:bookmarkEnd w:id="49"/>
    </w:p>
    <w:p w14:paraId="3818912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50" w:name="_Toc25270"/>
      <w:bookmarkStart w:id="51" w:name="_Toc7325"/>
      <w:bookmarkStart w:id="52" w:name="_Toc15055"/>
      <w:bookmarkStart w:id="53" w:name="_Toc21078"/>
      <w:bookmarkStart w:id="54" w:name="_Toc10523"/>
      <w:bookmarkStart w:id="55" w:name="_Toc439316873"/>
      <w:bookmarkStart w:id="56" w:name="_Toc439316919"/>
      <w:r>
        <w:rPr>
          <w:rFonts w:hint="eastAsia" w:asciiTheme="minorEastAsia" w:hAnsiTheme="minorEastAsia" w:eastAsiaTheme="minorEastAsia" w:cstheme="minorEastAsia"/>
          <w:b/>
          <w:bCs/>
          <w:color w:val="auto"/>
          <w:sz w:val="24"/>
          <w:szCs w:val="24"/>
          <w:highlight w:val="none"/>
          <w:lang w:val="zh-CN"/>
        </w:rPr>
        <w:t>1、适用法律</w:t>
      </w:r>
      <w:bookmarkEnd w:id="50"/>
      <w:bookmarkEnd w:id="51"/>
      <w:bookmarkEnd w:id="52"/>
      <w:bookmarkEnd w:id="53"/>
      <w:bookmarkEnd w:id="54"/>
      <w:bookmarkEnd w:id="55"/>
      <w:bookmarkEnd w:id="56"/>
    </w:p>
    <w:p w14:paraId="012FF80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0C51D58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57" w:name="_Toc439316874"/>
      <w:bookmarkStart w:id="58" w:name="_Toc27113"/>
      <w:bookmarkStart w:id="59" w:name="_Toc1704"/>
      <w:bookmarkStart w:id="60" w:name="_Toc24643"/>
      <w:bookmarkStart w:id="61" w:name="_Toc10933"/>
      <w:bookmarkStart w:id="62" w:name="_Toc8228"/>
      <w:bookmarkStart w:id="63" w:name="_Toc439316920"/>
      <w:r>
        <w:rPr>
          <w:rFonts w:hint="eastAsia" w:asciiTheme="minorEastAsia" w:hAnsiTheme="minorEastAsia" w:eastAsiaTheme="minorEastAsia" w:cstheme="minorEastAsia"/>
          <w:b/>
          <w:bCs/>
          <w:color w:val="auto"/>
          <w:sz w:val="24"/>
          <w:szCs w:val="24"/>
          <w:highlight w:val="none"/>
          <w:lang w:val="zh-CN"/>
        </w:rPr>
        <w:t>2、定义</w:t>
      </w:r>
      <w:bookmarkEnd w:id="57"/>
      <w:bookmarkEnd w:id="58"/>
      <w:bookmarkEnd w:id="59"/>
      <w:bookmarkEnd w:id="60"/>
      <w:bookmarkEnd w:id="61"/>
      <w:bookmarkEnd w:id="62"/>
      <w:bookmarkEnd w:id="63"/>
    </w:p>
    <w:p w14:paraId="5DF2E0B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591022A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4D96A35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523C6C3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0FF9178E">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468FCC8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7DEFA48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 在中华人民共和国境内注册，能够独立承担民事责任，有生产或供应能力的本国供应商。 </w:t>
      </w:r>
    </w:p>
    <w:p w14:paraId="7BB33A6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 具备《中华人民共和国政府采购法》第二十二条关于供应商条件的规定，遵守本项目采购人本级和上级财政部门政府采购的有关规定。 </w:t>
      </w:r>
    </w:p>
    <w:p w14:paraId="7505EFD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0F3B34B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 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47FC17B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 若竞争性谈判公告中接受联合体谈判 ，对联合体规定如下： </w:t>
      </w:r>
    </w:p>
    <w:p w14:paraId="31545F8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 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35AF78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 联合体各方均应符合《中华人民共和国政府采购法》第二十二条规定的条件。 </w:t>
      </w:r>
    </w:p>
    <w:p w14:paraId="3174EAF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 采购人根据采购项目对响应人的特殊要求，联合体中至少应当有一方符合相关规定。 </w:t>
      </w:r>
    </w:p>
    <w:p w14:paraId="4CDA3FB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 联合体各方应签订联合协议，明确约定联合体各方承担的工作和相应的责任，并将联合协议作为响应文件的一部分提交。 </w:t>
      </w:r>
    </w:p>
    <w:p w14:paraId="2AB13C8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 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4E92C76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 联合体中有同类资质的供应商按照联合体分工承担相同工作的，应当按照资质等级较低的供应商确定资质等级。 </w:t>
      </w:r>
    </w:p>
    <w:p w14:paraId="1E63680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 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5599C3A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 对联合体谈判的其他资格要求见响应人资格。</w:t>
      </w:r>
    </w:p>
    <w:p w14:paraId="40274BB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 单位负责人为同一人或者存在直接控股、管理关系的不同供应商，不得参加同一合同项下的政府采购活动。否则其响应文件将被认定为响应无效。 </w:t>
      </w:r>
    </w:p>
    <w:p w14:paraId="1E33C51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 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314B105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35448F8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64" w:name="_Toc439316875"/>
      <w:bookmarkStart w:id="65" w:name="_Toc439316921"/>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11369170">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64"/>
      <w:bookmarkEnd w:id="65"/>
    </w:p>
    <w:p w14:paraId="3F41F0CA">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66"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66"/>
    </w:p>
    <w:p w14:paraId="484A47A7">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2B1045FA">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0" w:firstLineChars="20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6E6D127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第一章</w:t>
      </w:r>
      <w:r>
        <w:rPr>
          <w:rFonts w:hint="eastAsia" w:asciiTheme="minorEastAsia" w:hAnsiTheme="minorEastAsia" w:eastAsiaTheme="minorEastAsia" w:cstheme="minorEastAsia"/>
          <w:color w:val="auto"/>
          <w:sz w:val="24"/>
          <w:szCs w:val="24"/>
          <w:highlight w:val="none"/>
          <w:lang w:val="en-US" w:eastAsia="zh-CN"/>
        </w:rPr>
        <w:t xml:space="preserve"> 谈判</w:t>
      </w:r>
      <w:r>
        <w:rPr>
          <w:rFonts w:hint="eastAsia" w:asciiTheme="minorEastAsia" w:hAnsiTheme="minorEastAsia" w:eastAsiaTheme="minorEastAsia" w:cstheme="minorEastAsia"/>
          <w:color w:val="auto"/>
          <w:sz w:val="24"/>
          <w:szCs w:val="24"/>
          <w:highlight w:val="none"/>
        </w:rPr>
        <w:t>公告</w:t>
      </w:r>
    </w:p>
    <w:p w14:paraId="6DD6397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14:paraId="5E27D1C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14:paraId="36B4CAA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14:paraId="7DBBD5E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14:paraId="5F53833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14:paraId="31A8A44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14:paraId="0FDA3D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4B91823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2CB6414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741F769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46C0ED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36F388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67DCA15F">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1ADDA92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410DBBF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 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11AF3D9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4F6C5207">
      <w:pPr>
        <w:pageBreakBefore w:val="0"/>
        <w:numPr>
          <w:ilvl w:val="0"/>
          <w:numId w:val="0"/>
        </w:numPr>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7A78A25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 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278240D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 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0436F7E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 响应文件不得行间插字、涂改或增删。</w:t>
      </w:r>
    </w:p>
    <w:p w14:paraId="187F009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0595B4B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3D6AC1F3">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3835EC9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5ABFE67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.2、除非特别要求，每个项目（或每个包）只允许有一个方案、一个报价。多方案、多报价的响应文件将视为响应无效。</w:t>
      </w:r>
    </w:p>
    <w:p w14:paraId="2F5736F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28D89E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 报价在合同履行过程中是固定不变的，不得以任何理由予以变更。任何包含价格调整要求的谈判 ，其响应文件将被认定为响应无效。</w:t>
      </w:r>
    </w:p>
    <w:p w14:paraId="6DD39E7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219506C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 报价其他情况：</w:t>
      </w:r>
    </w:p>
    <w:p w14:paraId="78F8979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210D0D3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34453F1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462F8CB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.4、总价金额与按单价汇总金额不一致的，以单价金额计算结果为准。</w:t>
      </w:r>
    </w:p>
    <w:p w14:paraId="1AF546D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758623D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6C3DC19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3480167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 xml:space="preserve">12.1 </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14:paraId="4A09B4E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235555F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00034EF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5A9E3E8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575CDC7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5CAE11C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1D4450A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263E738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.2、有下列情形之一的，其响应无效：</w:t>
      </w:r>
    </w:p>
    <w:p w14:paraId="0F6FC80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25D5383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3240AA5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754C112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579E298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6F7393EC">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5752FF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1675E4B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38675682">
      <w:pPr>
        <w:pStyle w:val="8"/>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67" w:name="_Toc476584424"/>
      <w:bookmarkStart w:id="68"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67"/>
      <w:r>
        <w:rPr>
          <w:rFonts w:hint="eastAsia" w:asciiTheme="minorEastAsia" w:hAnsiTheme="minorEastAsia" w:eastAsiaTheme="minorEastAsia" w:cstheme="minorEastAsia"/>
          <w:color w:val="auto"/>
          <w:sz w:val="24"/>
          <w:szCs w:val="24"/>
          <w:highlight w:val="none"/>
        </w:rPr>
        <w:t>提交</w:t>
      </w:r>
      <w:bookmarkEnd w:id="68"/>
      <w:r>
        <w:rPr>
          <w:rFonts w:hint="eastAsia" w:asciiTheme="minorEastAsia" w:hAnsiTheme="minorEastAsia" w:eastAsiaTheme="minorEastAsia" w:cstheme="minorEastAsia"/>
          <w:color w:val="auto"/>
          <w:sz w:val="24"/>
          <w:szCs w:val="24"/>
          <w:highlight w:val="none"/>
          <w:lang w:val="en-US" w:eastAsia="zh-CN"/>
        </w:rPr>
        <w:t>说明</w:t>
      </w:r>
    </w:p>
    <w:p w14:paraId="74E9FD1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18E5010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6CB597B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20A7FE5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bookmarkStart w:id="69" w:name="_Toc54941336"/>
      <w:bookmarkStart w:id="70" w:name="_Toc476584425"/>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3BB76008">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7C1463B0">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00241FB3">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14:paraId="01133DEF">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733B342E">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0E059F02">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9"/>
    <w:bookmarkEnd w:id="70"/>
    <w:p w14:paraId="0C8AEA60">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6E1CC9C0">
      <w:pPr>
        <w:pageBreakBefore w:val="0"/>
        <w:widowControl/>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45408B59">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09B92991">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 采购人和采购代理机构将按谈判须知前附表中规定的谈判时间和地点组织谈判 。 </w:t>
      </w:r>
    </w:p>
    <w:p w14:paraId="7BA39337">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18.2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时，各响应人应在规定时间前对本单位的响应文件进行解密。 </w:t>
      </w:r>
    </w:p>
    <w:p w14:paraId="5855D8E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18.3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2A0829C2">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 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090D41C7">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5779C26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0172CA83">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6ECAEEF3">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331E4B03">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7F8C54CD">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1882FAAC">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70C7EA94">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062D001C">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62A5030B">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4A7A11E2">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0FB74B26">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71" w:name="_Toc476584426"/>
      <w:bookmarkStart w:id="72" w:name="_Toc54941337"/>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57D784D9">
      <w:pPr>
        <w:pStyle w:val="8"/>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71"/>
      <w:bookmarkEnd w:id="72"/>
      <w:r>
        <w:rPr>
          <w:rFonts w:hint="eastAsia" w:asciiTheme="minorEastAsia" w:hAnsiTheme="minorEastAsia" w:eastAsiaTheme="minorEastAsia" w:cstheme="minorEastAsia"/>
          <w:color w:val="auto"/>
          <w:sz w:val="24"/>
          <w:szCs w:val="24"/>
          <w:highlight w:val="none"/>
          <w:lang w:val="en-US" w:eastAsia="zh-CN"/>
        </w:rPr>
        <w:t>谈判小组</w:t>
      </w:r>
    </w:p>
    <w:p w14:paraId="75862CD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 本项目将依法组建谈判小组，谈判小组成员由 3 人组成，谈判小组及其成员应当依照政府采购的有关规定履行相关职责和义务。 </w:t>
      </w:r>
    </w:p>
    <w:p w14:paraId="2F63BB6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 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54BF43C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 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2A561147">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5391AA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 采购人和采购代理机构将在谈判须知前附表规定的时间和地点组织谈判 。</w:t>
      </w:r>
    </w:p>
    <w:p w14:paraId="0AADEA9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 竞争性谈判采用最低评标价法评审。</w:t>
      </w:r>
    </w:p>
    <w:p w14:paraId="05B384A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2F257547">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151F5F1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 谈判小组将按照竞争性谈判文件规定的评审方法和标准对供应商独立进行评</w:t>
      </w:r>
    </w:p>
    <w:p w14:paraId="743E0BB3">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4CD37B1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 初审。谈判小组对供应商必须满足和实质性响应的内容进行评审，供应商未实质性响应竞争性谈判文件要求导致响应无效的，谈判小组将以书面询标的方式告知有关供应商。</w:t>
      </w:r>
    </w:p>
    <w:p w14:paraId="3583066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谈判小组将在响应文件提交截止时间后至评审结束前查询供应商的信用记录。供应商存在不良信用记录的，其响应文件将被认定为响应无效。</w:t>
      </w:r>
    </w:p>
    <w:p w14:paraId="7056132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 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的，联合体任何成员存在以上不良信用记录的，联合体谈判将被认定为响应无效。  </w:t>
      </w:r>
    </w:p>
    <w:p w14:paraId="04D56B7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21.3.1.2 信用信息查询渠道：中国政府采购网（www.ccgp.gov.cn）、“信用中国 ”网站 （ www.creditchina.gov.cn ）</w:t>
      </w:r>
      <w:r>
        <w:rPr>
          <w:rFonts w:hint="eastAsia" w:asciiTheme="minorEastAsia" w:hAnsiTheme="minorEastAsia" w:eastAsiaTheme="minorEastAsia" w:cstheme="minorEastAsia"/>
          <w:color w:val="auto"/>
          <w:kern w:val="2"/>
          <w:sz w:val="24"/>
          <w:szCs w:val="24"/>
          <w:highlight w:val="none"/>
          <w:lang w:val="en-US" w:eastAsia="zh-CN" w:bidi="ar-SA"/>
        </w:rPr>
        <w:t>、</w:t>
      </w:r>
      <w:r>
        <w:rPr>
          <w:rFonts w:ascii="宋体" w:hAnsi="宋体" w:eastAsia="宋体" w:cs="宋体"/>
          <w:color w:val="auto"/>
          <w:sz w:val="24"/>
          <w:szCs w:val="24"/>
          <w:highlight w:val="none"/>
        </w:rPr>
        <w:t>国家企业信用信息公示系统（www.gsxt.gov.cn）</w:t>
      </w:r>
      <w:r>
        <w:rPr>
          <w:rFonts w:hint="eastAsia" w:asciiTheme="minorEastAsia" w:hAnsiTheme="minorEastAsia" w:eastAsiaTheme="minorEastAsia" w:cstheme="minorEastAsia"/>
          <w:b w:val="0"/>
          <w:bCs/>
          <w:color w:val="auto"/>
          <w:sz w:val="24"/>
          <w:szCs w:val="24"/>
          <w:highlight w:val="none"/>
          <w:lang w:val="en-US" w:eastAsia="zh-CN"/>
        </w:rPr>
        <w:t>。</w:t>
      </w:r>
    </w:p>
    <w:p w14:paraId="7F9DCA8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21.3.1.3 信用信息记录方式：供应商不良信用记录以谈判小组查询结果为准。 </w:t>
      </w:r>
    </w:p>
    <w:p w14:paraId="26A5B26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在本竞争性谈判文件规定的查询时间之外，网站信息发生的任何变更均不作为初审依据。 </w:t>
      </w:r>
    </w:p>
    <w:p w14:paraId="2D7D447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供应商自行提供的与网站信息不一致的其他证明材料亦不作为初审审查依据。</w:t>
      </w:r>
    </w:p>
    <w:p w14:paraId="36FB4DC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 谈判。初审合格后，谈判小组将按响应文件提交顺序集中与单一供应商分别进行谈判 ，并给予所有参加谈判的供应商平等的谈判机会。</w:t>
      </w:r>
    </w:p>
    <w:p w14:paraId="6F8FC09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 报价。谈判结束后，谈判小组应当要求所有实质性响应的供应商在规定时间内提交最后报价。</w:t>
      </w:r>
    </w:p>
    <w:p w14:paraId="036E3B8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 相关说明。</w:t>
      </w:r>
    </w:p>
    <w:p w14:paraId="5F65DA1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 为保证谈判活动顺利进行，供应商可派相关技术人员进行现场答疑；</w:t>
      </w:r>
    </w:p>
    <w:p w14:paraId="0039E79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 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22DE8B1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 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311C78E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 无论何种原因，即使供应商谈判时携带了证书材料的原件，但响应文件中未提供与之内容完全一致的扫描件的，谈判小组可以视同其未提供。</w:t>
      </w:r>
    </w:p>
    <w:p w14:paraId="544F9B0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 谈判小组决定响应文件的响应性及符合性只根据响应文件本身的内容，而不寻求其他外部证据。</w:t>
      </w:r>
    </w:p>
    <w:p w14:paraId="7F481D2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 供应商授权代表对谈判过程有疑义，以及认为采购人、采购代理机构相关工作人员有需要回避的情形的，应当场提出询问或者回避申请，并说明理由。</w:t>
      </w:r>
    </w:p>
    <w:p w14:paraId="3F0B3547">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5377917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 出现下列情况之一时，采购人和采购代理机构有权宣布终止竞争性谈判采购，并将理由通知所有供应商： </w:t>
      </w:r>
    </w:p>
    <w:p w14:paraId="0F599D5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4B5D12F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4BF0FD5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2F21869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1704D6F3">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44744D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 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3FECBDB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 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060B71E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14:paraId="7BE396B3">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  24.最后报价 </w:t>
      </w:r>
    </w:p>
    <w:p w14:paraId="1817DE8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278124DF">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 最后报价是供应商响应文件的有效组成部分，最后报价也是签订合同的依据。 </w:t>
      </w:r>
    </w:p>
    <w:p w14:paraId="44E6CC84">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24.</w:t>
      </w:r>
      <w:r>
        <w:rPr>
          <w:rFonts w:hint="default" w:asciiTheme="minorEastAsia" w:hAnsiTheme="minorEastAsia" w:eastAsiaTheme="minorEastAsia" w:cstheme="minorEastAsia"/>
          <w:b/>
          <w:bCs w:val="0"/>
          <w:color w:val="auto"/>
          <w:sz w:val="24"/>
          <w:szCs w:val="24"/>
          <w:highlight w:val="none"/>
          <w:lang w:val="en-US" w:eastAsia="zh-CN"/>
        </w:rPr>
        <w:t>3</w:t>
      </w:r>
      <w:r>
        <w:rPr>
          <w:rFonts w:hint="eastAsia" w:asciiTheme="minorEastAsia" w:hAnsiTheme="minorEastAsia" w:eastAsiaTheme="minorEastAsia" w:cstheme="minorEastAsia"/>
          <w:b/>
          <w:bCs w:val="0"/>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2CFFBEAD">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 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14:paraId="342BE233">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6FAA4868">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084B7567">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66AFBF5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 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6BE69E95">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44C0DF8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 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6F050661">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7D37972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 评审将在严格保密的情况下进行。 </w:t>
      </w:r>
    </w:p>
    <w:p w14:paraId="5D99665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 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41AA5D62">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1757702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 为体现“公开、公平、公正”的原则，谈判结束后，采购代理机构将在桐城师范高等专科学校官网公告成交结果。</w:t>
      </w:r>
    </w:p>
    <w:p w14:paraId="4DB67F0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 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14:paraId="2EFD429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5E2A46A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 采购代理机构发布成交结果公告的同时以谈判须知前附表规定的形式向成交供应商发出成交通知书。 </w:t>
      </w:r>
    </w:p>
    <w:p w14:paraId="3366DF3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 成交通知书对采购人和成交供应商具有同等法律效力。成交通知书发出以后，采购人改变成交结果或者成交供应商放弃成交资格，应当承担相应的法律责任。</w:t>
      </w:r>
    </w:p>
    <w:p w14:paraId="1E0DCAB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 成交通知书是合同的组成部分。 </w:t>
      </w:r>
    </w:p>
    <w:p w14:paraId="1375735D">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4D5A856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  采购代理机构对未成交的供应商不做未成交原因的解释。 </w:t>
      </w:r>
    </w:p>
    <w:p w14:paraId="3B1F8267">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363C40F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10B3F517">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18ECF420">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 本项目成交服务费为中标价款的1.5%。 </w:t>
      </w:r>
    </w:p>
    <w:p w14:paraId="5C83CD3D">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0B5819AF">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 采购人与成交供应商应当自发出成交通知书之日起7个工作日内签订合同，采购合同签订之日起2个工作日内完成政府采购合同公开。</w:t>
      </w:r>
    </w:p>
    <w:p w14:paraId="3705E8B3">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 竞争性谈判文件、成交供应商的响应文件及其澄清文件等，均为签订合同的依据。</w:t>
      </w:r>
    </w:p>
    <w:p w14:paraId="7F84A09B">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 成交供应商拒绝与采购人签订合同的，采购人可以按照评审报告推荐的成交候选供应商名单排序，确定下一成交候选供应商为成交供应商，也可以重新开展采购活动。 </w:t>
      </w:r>
    </w:p>
    <w:p w14:paraId="2220EA38">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 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51DB81B">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3F9D655B">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 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1B770B4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 上述应知其权益受到损害之日，是指： </w:t>
      </w:r>
    </w:p>
    <w:p w14:paraId="1E28617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402D0CA3">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7984A09B">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14098878">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 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25409A40">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 采购代理机构质疑函接收部门、联系电话和通讯地址，见谈判须知前附表。</w:t>
      </w:r>
    </w:p>
    <w:p w14:paraId="068E3882">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14:paraId="42778701">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0FA14F6B">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7949C772">
      <w:pPr>
        <w:pStyle w:val="47"/>
        <w:pageBreakBefore w:val="0"/>
        <w:numPr>
          <w:ilvl w:val="0"/>
          <w:numId w:val="3"/>
        </w:numPr>
        <w:kinsoku/>
        <w:wordWrap/>
        <w:overflowPunct/>
        <w:topLinePunct w:val="0"/>
        <w:bidi w:val="0"/>
        <w:spacing w:before="0" w:beforeAutospacing="0" w:after="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en-US" w:eastAsia="zh-CN"/>
        </w:rPr>
      </w:pPr>
      <w:r>
        <w:rPr>
          <w:rFonts w:hint="eastAsia" w:asciiTheme="minorEastAsia" w:hAnsiTheme="minorEastAsia" w:eastAsiaTheme="minorEastAsia" w:cstheme="minorEastAsia"/>
          <w:b/>
          <w:bCs/>
          <w:color w:val="auto"/>
          <w:sz w:val="24"/>
          <w:szCs w:val="24"/>
          <w:highlight w:val="none"/>
          <w:lang w:val="en-US" w:eastAsia="zh-CN"/>
        </w:rPr>
        <w:t>备注</w:t>
      </w:r>
    </w:p>
    <w:p w14:paraId="669737E3">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6" w:type="default"/>
          <w:pgSz w:w="11906" w:h="16838"/>
          <w:pgMar w:top="1418" w:right="1418" w:bottom="1276" w:left="1418" w:header="680" w:footer="680" w:gutter="0"/>
          <w:pgNumType w:fmt="decimal" w:start="3"/>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1C9EA266">
      <w:pPr>
        <w:pStyle w:val="2"/>
        <w:numPr>
          <w:ilvl w:val="0"/>
          <w:numId w:val="0"/>
        </w:numPr>
        <w:spacing w:beforeLines="0" w:afterLines="0"/>
        <w:jc w:val="center"/>
        <w:rPr>
          <w:rFonts w:hint="eastAsia" w:ascii="Arial" w:hAnsi="Arial"/>
          <w:color w:val="auto"/>
          <w:kern w:val="2"/>
          <w:sz w:val="32"/>
          <w:szCs w:val="32"/>
          <w:highlight w:val="none"/>
          <w:lang w:val="en-US" w:eastAsia="zh-CN"/>
        </w:rPr>
      </w:pPr>
      <w:bookmarkStart w:id="73" w:name="_Toc12353"/>
      <w:r>
        <w:rPr>
          <w:rFonts w:hint="eastAsia" w:ascii="Arial" w:hAnsi="Arial"/>
          <w:color w:val="auto"/>
          <w:kern w:val="2"/>
          <w:sz w:val="32"/>
          <w:szCs w:val="32"/>
          <w:highlight w:val="none"/>
          <w:lang w:val="en-US" w:eastAsia="zh-CN"/>
        </w:rPr>
        <w:t>第三章 采购需求</w:t>
      </w:r>
      <w:bookmarkEnd w:id="73"/>
    </w:p>
    <w:p w14:paraId="76288867">
      <w:pPr>
        <w:keepNext w:val="0"/>
        <w:keepLines w:val="0"/>
        <w:pageBreakBefore w:val="0"/>
        <w:widowControl w:val="0"/>
        <w:kinsoku/>
        <w:wordWrap/>
        <w:overflowPunct/>
        <w:topLinePunct w:val="0"/>
        <w:autoSpaceDE/>
        <w:autoSpaceDN/>
        <w:bidi w:val="0"/>
        <w:adjustRightInd w:val="0"/>
        <w:snapToGrid/>
        <w:spacing w:line="240" w:lineRule="auto"/>
        <w:ind w:firstLine="480" w:firstLineChars="200"/>
        <w:textAlignment w:val="auto"/>
        <w:rPr>
          <w:rFonts w:hint="eastAsia" w:ascii="微软雅黑" w:hAnsi="微软雅黑" w:eastAsia="微软雅黑" w:cs="微软雅黑"/>
          <w:sz w:val="24"/>
          <w:szCs w:val="24"/>
        </w:rPr>
      </w:pPr>
      <w:bookmarkStart w:id="74" w:name="_Toc16371"/>
      <w:r>
        <w:rPr>
          <w:rFonts w:hint="eastAsia" w:ascii="微软雅黑" w:hAnsi="微软雅黑" w:eastAsia="微软雅黑" w:cs="微软雅黑"/>
          <w:b/>
          <w:bCs/>
          <w:sz w:val="24"/>
          <w:szCs w:val="24"/>
        </w:rPr>
        <w:t>一、</w:t>
      </w:r>
      <w:r>
        <w:rPr>
          <w:rFonts w:hint="eastAsia" w:ascii="宋体" w:hAnsi="宋体" w:eastAsia="宋体" w:cs="宋体"/>
          <w:b/>
          <w:bCs/>
          <w:sz w:val="24"/>
          <w:szCs w:val="24"/>
        </w:rPr>
        <w:t>商务要求</w:t>
      </w:r>
    </w:p>
    <w:tbl>
      <w:tblPr>
        <w:tblStyle w:val="39"/>
        <w:tblW w:w="83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2391"/>
        <w:gridCol w:w="5170"/>
      </w:tblGrid>
      <w:tr w14:paraId="6B008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08" w:type="dxa"/>
            <w:vAlign w:val="center"/>
          </w:tcPr>
          <w:p w14:paraId="46F7E4CB">
            <w:pPr>
              <w:pStyle w:val="22"/>
              <w:jc w:val="center"/>
              <w:rPr>
                <w:rFonts w:cs="Wingdings" w:asciiTheme="minorEastAsia" w:hAnsiTheme="minorEastAsia"/>
                <w:b/>
                <w:sz w:val="24"/>
              </w:rPr>
            </w:pPr>
            <w:r>
              <w:rPr>
                <w:rFonts w:hint="eastAsia" w:cs="Wingdings" w:asciiTheme="minorEastAsia" w:hAnsiTheme="minorEastAsia"/>
                <w:b/>
                <w:color w:val="auto"/>
                <w:sz w:val="24"/>
                <w:highlight w:val="none"/>
              </w:rPr>
              <w:t>序号</w:t>
            </w:r>
          </w:p>
        </w:tc>
        <w:tc>
          <w:tcPr>
            <w:tcW w:w="2391" w:type="dxa"/>
            <w:vAlign w:val="center"/>
          </w:tcPr>
          <w:p w14:paraId="02D27D18">
            <w:pPr>
              <w:pStyle w:val="22"/>
              <w:jc w:val="center"/>
            </w:pPr>
            <w:r>
              <w:rPr>
                <w:rFonts w:hint="eastAsia" w:asciiTheme="minorEastAsia" w:hAnsiTheme="minorEastAsia"/>
                <w:b/>
                <w:bCs/>
                <w:color w:val="auto"/>
                <w:sz w:val="24"/>
                <w:szCs w:val="24"/>
                <w:highlight w:val="none"/>
              </w:rPr>
              <w:t>商务条款</w:t>
            </w:r>
          </w:p>
        </w:tc>
        <w:tc>
          <w:tcPr>
            <w:tcW w:w="5170" w:type="dxa"/>
            <w:vAlign w:val="center"/>
          </w:tcPr>
          <w:p w14:paraId="12399B78">
            <w:pPr>
              <w:pStyle w:val="22"/>
              <w:jc w:val="center"/>
              <w:rPr>
                <w:rFonts w:cs="Wingdings" w:asciiTheme="minorEastAsia" w:hAnsiTheme="minorEastAsia"/>
                <w:b/>
                <w:sz w:val="24"/>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r>
      <w:tr w14:paraId="405EE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8" w:type="dxa"/>
            <w:vAlign w:val="center"/>
          </w:tcPr>
          <w:p w14:paraId="434159D6">
            <w:pPr>
              <w:jc w:val="center"/>
              <w:rPr>
                <w:rFonts w:asciiTheme="minorEastAsia" w:hAnsiTheme="minorEastAsia" w:eastAsiaTheme="minorEastAsia"/>
                <w:sz w:val="24"/>
              </w:rPr>
            </w:pPr>
            <w:r>
              <w:rPr>
                <w:rFonts w:asciiTheme="minorEastAsia" w:hAnsiTheme="minorEastAsia" w:eastAsiaTheme="minorEastAsia"/>
                <w:color w:val="auto"/>
                <w:sz w:val="24"/>
                <w:highlight w:val="none"/>
              </w:rPr>
              <w:t>1</w:t>
            </w:r>
          </w:p>
        </w:tc>
        <w:tc>
          <w:tcPr>
            <w:tcW w:w="2391" w:type="dxa"/>
            <w:vAlign w:val="center"/>
          </w:tcPr>
          <w:p w14:paraId="0BD075D8">
            <w:pPr>
              <w:jc w:val="center"/>
              <w:rPr>
                <w:rFonts w:ascii="宋体" w:hAnsi="宋体"/>
                <w:sz w:val="24"/>
              </w:rPr>
            </w:pPr>
            <w:r>
              <w:rPr>
                <w:rFonts w:asciiTheme="minorEastAsia" w:hAnsiTheme="minorEastAsia" w:eastAsiaTheme="minorEastAsia"/>
                <w:color w:val="auto"/>
                <w:sz w:val="24"/>
                <w:highlight w:val="none"/>
              </w:rPr>
              <w:t>付款方式</w:t>
            </w:r>
          </w:p>
        </w:tc>
        <w:tc>
          <w:tcPr>
            <w:tcW w:w="5170" w:type="dxa"/>
            <w:vAlign w:val="center"/>
          </w:tcPr>
          <w:p w14:paraId="1F35E8F2">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完成本项目所有内容并验收合格后一次性支付</w:t>
            </w:r>
          </w:p>
        </w:tc>
      </w:tr>
      <w:tr w14:paraId="369AB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21A30DA7">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2</w:t>
            </w:r>
          </w:p>
        </w:tc>
        <w:tc>
          <w:tcPr>
            <w:tcW w:w="2391" w:type="dxa"/>
            <w:vAlign w:val="center"/>
          </w:tcPr>
          <w:p w14:paraId="37C5C786">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地点</w:t>
            </w:r>
          </w:p>
        </w:tc>
        <w:tc>
          <w:tcPr>
            <w:tcW w:w="5170" w:type="dxa"/>
            <w:vAlign w:val="center"/>
          </w:tcPr>
          <w:p w14:paraId="59D57927">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桐城师范高等专科学校</w:t>
            </w:r>
          </w:p>
        </w:tc>
      </w:tr>
      <w:tr w14:paraId="52FF9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397436F8">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3</w:t>
            </w:r>
          </w:p>
        </w:tc>
        <w:tc>
          <w:tcPr>
            <w:tcW w:w="2391" w:type="dxa"/>
            <w:vAlign w:val="center"/>
          </w:tcPr>
          <w:p w14:paraId="73459A62">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期限</w:t>
            </w:r>
          </w:p>
        </w:tc>
        <w:tc>
          <w:tcPr>
            <w:tcW w:w="5170" w:type="dxa"/>
            <w:vAlign w:val="center"/>
          </w:tcPr>
          <w:p w14:paraId="46CFC851">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30个日历天</w:t>
            </w:r>
          </w:p>
        </w:tc>
      </w:tr>
    </w:tbl>
    <w:p w14:paraId="6FA85DD2">
      <w:pPr>
        <w:ind w:firstLine="422" w:firstLineChars="200"/>
        <w:rPr>
          <w:rFonts w:ascii="宋体" w:hAnsi="宋体"/>
          <w:b/>
          <w:bCs/>
          <w:szCs w:val="21"/>
        </w:rPr>
      </w:pPr>
    </w:p>
    <w:p w14:paraId="2F149F06">
      <w:pPr>
        <w:pStyle w:val="8"/>
        <w:keepNext/>
        <w:keepLines/>
        <w:pageBreakBefore w:val="0"/>
        <w:widowControl w:val="0"/>
        <w:numPr>
          <w:ilvl w:val="0"/>
          <w:numId w:val="4"/>
        </w:numPr>
        <w:tabs>
          <w:tab w:val="left" w:pos="2730"/>
        </w:tabs>
        <w:kinsoku/>
        <w:wordWrap/>
        <w:overflowPunct/>
        <w:topLinePunct w:val="0"/>
        <w:autoSpaceDE/>
        <w:autoSpaceDN/>
        <w:bidi w:val="0"/>
        <w:adjustRightInd w:val="0"/>
        <w:snapToGrid/>
        <w:spacing w:before="157" w:beforeLines="50" w:after="157" w:afterLines="50" w:line="240" w:lineRule="auto"/>
        <w:ind w:firstLine="472" w:firstLineChars="196"/>
        <w:textAlignment w:val="auto"/>
        <w:rPr>
          <w:rFonts w:hint="eastAsia" w:ascii="宋体" w:hAnsi="宋体" w:eastAsia="宋体" w:cs="宋体"/>
          <w:bCs/>
          <w:sz w:val="24"/>
          <w:szCs w:val="24"/>
        </w:rPr>
      </w:pPr>
      <w:r>
        <w:rPr>
          <w:rFonts w:hint="eastAsia" w:ascii="宋体" w:hAnsi="宋体" w:eastAsia="宋体" w:cs="宋体"/>
          <w:bCs/>
          <w:sz w:val="24"/>
          <w:szCs w:val="24"/>
          <w:lang w:val="en-US" w:eastAsia="zh-CN"/>
        </w:rPr>
        <w:t>项目</w:t>
      </w:r>
      <w:r>
        <w:rPr>
          <w:rFonts w:hint="eastAsia" w:ascii="宋体" w:hAnsi="宋体" w:eastAsia="宋体" w:cs="宋体"/>
          <w:bCs/>
          <w:sz w:val="24"/>
          <w:szCs w:val="24"/>
        </w:rPr>
        <w:t>内容</w:t>
      </w:r>
    </w:p>
    <w:p w14:paraId="4414F2E4">
      <w:pPr>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桐城师范高等专科学校</w:t>
      </w:r>
      <w:r>
        <w:rPr>
          <w:rFonts w:hint="eastAsia" w:asciiTheme="minorEastAsia" w:hAnsiTheme="minorEastAsia" w:eastAsiaTheme="minorEastAsia"/>
          <w:sz w:val="24"/>
          <w:lang w:val="en-US" w:eastAsia="zh-CN"/>
        </w:rPr>
        <w:t>体操房建设项目</w:t>
      </w:r>
      <w:r>
        <w:rPr>
          <w:rFonts w:hint="eastAsia" w:asciiTheme="minorEastAsia" w:hAnsiTheme="minorEastAsia" w:eastAsiaTheme="minorEastAsia"/>
          <w:sz w:val="24"/>
        </w:rPr>
        <w:t>。</w:t>
      </w:r>
    </w:p>
    <w:p w14:paraId="18056CA8">
      <w:pPr>
        <w:keepNext w:val="0"/>
        <w:keepLines w:val="0"/>
        <w:pageBreakBefore w:val="0"/>
        <w:widowControl w:val="0"/>
        <w:numPr>
          <w:ilvl w:val="0"/>
          <w:numId w:val="4"/>
        </w:numPr>
        <w:kinsoku/>
        <w:wordWrap/>
        <w:overflowPunct/>
        <w:topLinePunct w:val="0"/>
        <w:autoSpaceDE/>
        <w:autoSpaceDN/>
        <w:bidi w:val="0"/>
        <w:adjustRightInd w:val="0"/>
        <w:snapToGrid/>
        <w:spacing w:before="157" w:beforeLines="50" w:after="157" w:afterLines="50" w:line="360" w:lineRule="auto"/>
        <w:ind w:left="0" w:leftChars="0" w:firstLine="472" w:firstLineChars="196"/>
        <w:textAlignment w:val="auto"/>
        <w:rPr>
          <w:rFonts w:hint="eastAsia" w:asciiTheme="minorEastAsia" w:hAnsiTheme="minorEastAsia" w:eastAsiaTheme="minorEastAsia"/>
          <w:b/>
          <w:sz w:val="24"/>
        </w:rPr>
      </w:pPr>
      <w:r>
        <w:rPr>
          <w:rFonts w:hint="eastAsia" w:asciiTheme="minorEastAsia" w:hAnsiTheme="minorEastAsia" w:eastAsiaTheme="minorEastAsia"/>
          <w:b/>
          <w:sz w:val="24"/>
          <w:lang w:val="en-US" w:eastAsia="zh-CN"/>
        </w:rPr>
        <w:t>技术要求一览表</w:t>
      </w:r>
    </w:p>
    <w:tbl>
      <w:tblPr>
        <w:tblStyle w:val="39"/>
        <w:tblW w:w="107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550"/>
        <w:gridCol w:w="7200"/>
        <w:gridCol w:w="683"/>
        <w:gridCol w:w="681"/>
      </w:tblGrid>
      <w:tr w14:paraId="2DE1E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664" w:type="dxa"/>
            <w:vAlign w:val="center"/>
          </w:tcPr>
          <w:p w14:paraId="0AF1259B">
            <w:pPr>
              <w:widowControl/>
              <w:jc w:val="center"/>
              <w:rPr>
                <w:rFonts w:ascii="宋体" w:hAnsi="宋体" w:eastAsia="宋体" w:cs="宋体"/>
                <w:kern w:val="0"/>
                <w:sz w:val="20"/>
                <w:szCs w:val="20"/>
              </w:rPr>
            </w:pPr>
            <w:r>
              <w:rPr>
                <w:rFonts w:hint="eastAsia" w:ascii="宋体" w:hAnsi="宋体" w:eastAsia="宋体" w:cs="宋体"/>
                <w:kern w:val="0"/>
                <w:sz w:val="20"/>
                <w:szCs w:val="20"/>
              </w:rPr>
              <w:t>序号</w:t>
            </w:r>
          </w:p>
        </w:tc>
        <w:tc>
          <w:tcPr>
            <w:tcW w:w="1550" w:type="dxa"/>
            <w:shd w:val="clear" w:color="auto" w:fill="auto"/>
            <w:noWrap/>
            <w:vAlign w:val="center"/>
          </w:tcPr>
          <w:p w14:paraId="2C1A9760">
            <w:pPr>
              <w:widowControl/>
              <w:jc w:val="center"/>
              <w:rPr>
                <w:rFonts w:ascii="宋体" w:hAnsi="宋体" w:eastAsia="宋体" w:cs="宋体"/>
                <w:kern w:val="0"/>
                <w:sz w:val="20"/>
                <w:szCs w:val="20"/>
              </w:rPr>
            </w:pPr>
            <w:r>
              <w:rPr>
                <w:rFonts w:hint="eastAsia" w:ascii="宋体" w:hAnsi="宋体" w:eastAsia="宋体" w:cs="宋体"/>
                <w:kern w:val="0"/>
                <w:sz w:val="20"/>
                <w:szCs w:val="20"/>
              </w:rPr>
              <w:t>产品名称</w:t>
            </w:r>
          </w:p>
        </w:tc>
        <w:tc>
          <w:tcPr>
            <w:tcW w:w="7200" w:type="dxa"/>
            <w:shd w:val="clear" w:color="auto" w:fill="auto"/>
            <w:noWrap/>
            <w:vAlign w:val="center"/>
          </w:tcPr>
          <w:p w14:paraId="5ADC070E">
            <w:pPr>
              <w:widowControl/>
              <w:jc w:val="center"/>
              <w:rPr>
                <w:rFonts w:ascii="宋体" w:hAnsi="宋体" w:eastAsia="宋体" w:cs="宋体"/>
                <w:kern w:val="0"/>
                <w:sz w:val="20"/>
                <w:szCs w:val="20"/>
              </w:rPr>
            </w:pPr>
            <w:r>
              <w:rPr>
                <w:rFonts w:hint="eastAsia" w:ascii="宋体" w:hAnsi="宋体" w:eastAsia="宋体" w:cs="宋体"/>
                <w:kern w:val="0"/>
                <w:sz w:val="20"/>
                <w:szCs w:val="20"/>
              </w:rPr>
              <w:t>规格参数</w:t>
            </w:r>
          </w:p>
        </w:tc>
        <w:tc>
          <w:tcPr>
            <w:tcW w:w="683" w:type="dxa"/>
            <w:shd w:val="clear" w:color="auto" w:fill="auto"/>
            <w:noWrap/>
            <w:vAlign w:val="center"/>
          </w:tcPr>
          <w:p w14:paraId="07FA4B55">
            <w:pPr>
              <w:widowControl/>
              <w:jc w:val="center"/>
              <w:rPr>
                <w:rFonts w:ascii="宋体" w:hAnsi="宋体" w:eastAsia="宋体" w:cs="宋体"/>
                <w:kern w:val="0"/>
                <w:sz w:val="20"/>
                <w:szCs w:val="20"/>
              </w:rPr>
            </w:pPr>
            <w:r>
              <w:rPr>
                <w:rFonts w:hint="eastAsia" w:ascii="宋体" w:hAnsi="宋体" w:eastAsia="宋体" w:cs="宋体"/>
                <w:kern w:val="0"/>
                <w:sz w:val="20"/>
                <w:szCs w:val="20"/>
              </w:rPr>
              <w:t>单位</w:t>
            </w:r>
          </w:p>
        </w:tc>
        <w:tc>
          <w:tcPr>
            <w:tcW w:w="681" w:type="dxa"/>
            <w:shd w:val="clear" w:color="auto" w:fill="auto"/>
            <w:noWrap/>
            <w:vAlign w:val="center"/>
          </w:tcPr>
          <w:p w14:paraId="167C6F84">
            <w:pPr>
              <w:widowControl/>
              <w:jc w:val="center"/>
              <w:rPr>
                <w:rFonts w:ascii="宋体" w:hAnsi="宋体" w:eastAsia="宋体" w:cs="宋体"/>
                <w:kern w:val="0"/>
                <w:sz w:val="20"/>
                <w:szCs w:val="20"/>
              </w:rPr>
            </w:pPr>
            <w:r>
              <w:rPr>
                <w:rFonts w:hint="eastAsia" w:ascii="宋体" w:hAnsi="宋体" w:eastAsia="宋体" w:cs="宋体"/>
                <w:kern w:val="0"/>
                <w:sz w:val="20"/>
                <w:szCs w:val="20"/>
              </w:rPr>
              <w:t>数量</w:t>
            </w:r>
          </w:p>
        </w:tc>
      </w:tr>
      <w:tr w14:paraId="08A6D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9" w:hRule="atLeast"/>
          <w:jc w:val="center"/>
        </w:trPr>
        <w:tc>
          <w:tcPr>
            <w:tcW w:w="664" w:type="dxa"/>
            <w:vAlign w:val="center"/>
          </w:tcPr>
          <w:p w14:paraId="70E3B14B">
            <w:pPr>
              <w:widowControl/>
              <w:jc w:val="center"/>
              <w:rPr>
                <w:rFonts w:ascii="宋体" w:hAnsi="宋体" w:eastAsia="宋体"/>
                <w:sz w:val="20"/>
                <w:szCs w:val="20"/>
              </w:rPr>
            </w:pPr>
            <w:r>
              <w:rPr>
                <w:rFonts w:hint="eastAsia" w:ascii="宋体" w:hAnsi="宋体" w:eastAsia="宋体"/>
                <w:sz w:val="20"/>
                <w:szCs w:val="20"/>
              </w:rPr>
              <w:t>1</w:t>
            </w:r>
          </w:p>
        </w:tc>
        <w:tc>
          <w:tcPr>
            <w:tcW w:w="1550" w:type="dxa"/>
            <w:shd w:val="clear" w:color="auto" w:fill="auto"/>
            <w:noWrap/>
            <w:vAlign w:val="center"/>
          </w:tcPr>
          <w:p w14:paraId="55F13FB9">
            <w:pPr>
              <w:widowControl/>
              <w:jc w:val="center"/>
              <w:rPr>
                <w:rFonts w:ascii="宋体" w:hAnsi="宋体" w:eastAsia="宋体"/>
                <w:sz w:val="20"/>
                <w:szCs w:val="20"/>
              </w:rPr>
            </w:pPr>
            <w:r>
              <w:rPr>
                <w:rFonts w:hint="eastAsia" w:ascii="宋体" w:hAnsi="宋体" w:eastAsia="宋体"/>
                <w:sz w:val="20"/>
                <w:szCs w:val="20"/>
              </w:rPr>
              <w:t>高级单杠</w:t>
            </w:r>
          </w:p>
        </w:tc>
        <w:tc>
          <w:tcPr>
            <w:tcW w:w="7200" w:type="dxa"/>
            <w:shd w:val="clear" w:color="auto" w:fill="auto"/>
            <w:noWrap/>
            <w:vAlign w:val="center"/>
          </w:tcPr>
          <w:p w14:paraId="3CBE201E">
            <w:pPr>
              <w:widowControl/>
              <w:jc w:val="left"/>
              <w:rPr>
                <w:rFonts w:ascii="宋体" w:hAnsi="宋体" w:eastAsia="宋体" w:cs="宋体"/>
                <w:kern w:val="0"/>
                <w:sz w:val="20"/>
                <w:szCs w:val="20"/>
              </w:rPr>
            </w:pPr>
            <w:r>
              <w:rPr>
                <w:rFonts w:ascii="宋体" w:hAnsi="宋体" w:eastAsia="宋体" w:cs="宋体"/>
                <w:kern w:val="0"/>
                <w:sz w:val="20"/>
                <w:szCs w:val="20"/>
              </w:rPr>
              <w:t>1、单杠由底座、内外立柱及杠面、地板钩拉紧装置等组成，可装拆，便于包装运输。</w:t>
            </w:r>
          </w:p>
          <w:p w14:paraId="32472B79">
            <w:pPr>
              <w:widowControl/>
              <w:jc w:val="left"/>
              <w:rPr>
                <w:rFonts w:ascii="宋体" w:hAnsi="宋体" w:eastAsia="宋体" w:cs="宋体"/>
                <w:kern w:val="0"/>
                <w:sz w:val="20"/>
                <w:szCs w:val="20"/>
              </w:rPr>
            </w:pPr>
            <w:r>
              <w:rPr>
                <w:rFonts w:ascii="宋体" w:hAnsi="宋体" w:eastAsia="宋体" w:cs="宋体"/>
                <w:kern w:val="0"/>
                <w:sz w:val="20"/>
                <w:szCs w:val="20"/>
              </w:rPr>
              <w:t xml:space="preserve">2、杠面选用φ28x2400mm的碳素弹簧钢，内立柱为φ42x4mm无缝管，外立柱为φ51x4mm无缝管，内立柱上设有调节孔，通过调节销调节杠面高度。     </w:t>
            </w:r>
          </w:p>
          <w:p w14:paraId="6D9902A7">
            <w:pPr>
              <w:widowControl/>
              <w:jc w:val="left"/>
              <w:rPr>
                <w:rFonts w:ascii="宋体" w:hAnsi="宋体" w:eastAsia="宋体" w:cs="宋体"/>
                <w:kern w:val="0"/>
                <w:sz w:val="20"/>
                <w:szCs w:val="20"/>
              </w:rPr>
            </w:pPr>
            <w:r>
              <w:rPr>
                <w:rFonts w:ascii="宋体" w:hAnsi="宋体" w:eastAsia="宋体" w:cs="宋体"/>
                <w:kern w:val="0"/>
                <w:sz w:val="20"/>
                <w:szCs w:val="20"/>
              </w:rPr>
              <w:t>3、杠面弹性：杠面中心静载荷力2200N，挠度约100mm,取消外力变形≤1mm。</w:t>
            </w:r>
          </w:p>
          <w:p w14:paraId="04787E48">
            <w:pPr>
              <w:widowControl/>
              <w:jc w:val="left"/>
              <w:rPr>
                <w:rFonts w:ascii="宋体" w:hAnsi="宋体" w:eastAsia="宋体" w:cs="宋体"/>
                <w:kern w:val="0"/>
                <w:sz w:val="20"/>
                <w:szCs w:val="20"/>
              </w:rPr>
            </w:pPr>
            <w:r>
              <w:rPr>
                <w:rFonts w:ascii="宋体" w:hAnsi="宋体" w:eastAsia="宋体" w:cs="宋体"/>
                <w:kern w:val="0"/>
                <w:sz w:val="20"/>
                <w:szCs w:val="20"/>
              </w:rPr>
              <w:t>4、在二立柱外侧面有左右两个地板预埋钩件，用于钢绳拉钩，通过花篮螺栓紧固，使立柱直立于地板面不致以晃动。拉紧器、链条、钢丝绳极限载荷≥8000N，拉紧器转动灵活。</w:t>
            </w:r>
          </w:p>
          <w:p w14:paraId="42807366">
            <w:pPr>
              <w:widowControl/>
              <w:jc w:val="left"/>
              <w:rPr>
                <w:rFonts w:ascii="宋体" w:hAnsi="宋体" w:eastAsia="宋体" w:cs="宋体"/>
                <w:kern w:val="0"/>
                <w:sz w:val="20"/>
                <w:szCs w:val="20"/>
              </w:rPr>
            </w:pPr>
            <w:r>
              <w:rPr>
                <w:rFonts w:ascii="宋体" w:hAnsi="宋体" w:eastAsia="宋体" w:cs="宋体"/>
                <w:kern w:val="0"/>
                <w:sz w:val="20"/>
                <w:szCs w:val="20"/>
              </w:rPr>
              <w:t>5、底座与内立柱的联结处设有微调机构，使单杠杠面达到所需要高度，单杠可调高度范围：2550-2850㎜。</w:t>
            </w:r>
          </w:p>
          <w:p w14:paraId="680B6879">
            <w:pPr>
              <w:widowControl/>
              <w:jc w:val="left"/>
              <w:rPr>
                <w:rFonts w:ascii="宋体" w:hAnsi="宋体" w:eastAsia="宋体" w:cs="宋体"/>
                <w:kern w:val="0"/>
                <w:sz w:val="20"/>
                <w:szCs w:val="20"/>
              </w:rPr>
            </w:pPr>
            <w:r>
              <w:rPr>
                <w:rFonts w:hint="eastAsia" w:ascii="宋体" w:hAnsi="宋体" w:eastAsia="宋体" w:cs="宋体"/>
                <w:kern w:val="0"/>
                <w:sz w:val="20"/>
                <w:szCs w:val="20"/>
              </w:rPr>
              <w:t>★</w:t>
            </w:r>
            <w:r>
              <w:rPr>
                <w:rFonts w:ascii="宋体" w:hAnsi="宋体" w:eastAsia="宋体" w:cs="宋体"/>
                <w:kern w:val="0"/>
                <w:sz w:val="20"/>
                <w:szCs w:val="20"/>
              </w:rPr>
              <w:t>6、</w:t>
            </w:r>
            <w:r>
              <w:rPr>
                <w:rFonts w:hint="eastAsia" w:ascii="宋体" w:hAnsi="宋体" w:eastAsia="宋体" w:cs="宋体"/>
                <w:kern w:val="0"/>
                <w:sz w:val="20"/>
                <w:szCs w:val="20"/>
              </w:rPr>
              <w:t>产品所有器材均在全自动喷涂流水线上作业，经抛丸——脱脂——水洗——无磷转化——水洗——烘干——静电粉末——固化等过程。涂层表面附着力参照</w:t>
            </w:r>
            <w:r>
              <w:rPr>
                <w:rFonts w:ascii="宋体" w:hAnsi="宋体" w:eastAsia="宋体" w:cs="宋体"/>
                <w:kern w:val="0"/>
                <w:sz w:val="20"/>
                <w:szCs w:val="20"/>
              </w:rPr>
              <w:t>GB/T3325-2017要求：附着力不低于2级，耐腐蚀性能≥6级。产品具有耐酸碱、耐湿热、抗老化、外观美观等优点，能适合潮湿和酸雨环境，且产品涂料配方不含有毒元素，避免损害使用者的健康。</w:t>
            </w:r>
          </w:p>
        </w:tc>
        <w:tc>
          <w:tcPr>
            <w:tcW w:w="683" w:type="dxa"/>
            <w:shd w:val="clear" w:color="auto" w:fill="auto"/>
            <w:noWrap/>
            <w:vAlign w:val="center"/>
          </w:tcPr>
          <w:p w14:paraId="020C81A6">
            <w:pPr>
              <w:widowControl/>
              <w:jc w:val="center"/>
              <w:rPr>
                <w:rFonts w:ascii="宋体" w:hAnsi="宋体" w:eastAsia="宋体"/>
                <w:color w:val="000000"/>
                <w:sz w:val="20"/>
                <w:szCs w:val="20"/>
              </w:rPr>
            </w:pPr>
            <w:r>
              <w:rPr>
                <w:rFonts w:hint="eastAsia" w:ascii="宋体" w:hAnsi="宋体" w:eastAsia="宋体"/>
                <w:color w:val="000000"/>
                <w:sz w:val="20"/>
                <w:szCs w:val="20"/>
              </w:rPr>
              <w:t>套</w:t>
            </w:r>
          </w:p>
        </w:tc>
        <w:tc>
          <w:tcPr>
            <w:tcW w:w="681" w:type="dxa"/>
            <w:shd w:val="clear" w:color="auto" w:fill="auto"/>
            <w:noWrap/>
            <w:vAlign w:val="center"/>
          </w:tcPr>
          <w:p w14:paraId="278CC1AF">
            <w:pPr>
              <w:jc w:val="center"/>
              <w:rPr>
                <w:rFonts w:ascii="宋体" w:hAnsi="宋体" w:eastAsia="宋体"/>
                <w:color w:val="000000"/>
                <w:sz w:val="20"/>
                <w:szCs w:val="20"/>
              </w:rPr>
            </w:pPr>
            <w:r>
              <w:rPr>
                <w:rFonts w:hint="eastAsia" w:ascii="宋体" w:hAnsi="宋体" w:eastAsia="宋体"/>
                <w:color w:val="000000"/>
                <w:sz w:val="20"/>
                <w:szCs w:val="20"/>
              </w:rPr>
              <w:t>1</w:t>
            </w:r>
          </w:p>
        </w:tc>
      </w:tr>
      <w:tr w14:paraId="0923C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6" w:hRule="atLeast"/>
          <w:jc w:val="center"/>
        </w:trPr>
        <w:tc>
          <w:tcPr>
            <w:tcW w:w="664" w:type="dxa"/>
            <w:vAlign w:val="center"/>
          </w:tcPr>
          <w:p w14:paraId="50357A23">
            <w:pPr>
              <w:jc w:val="center"/>
              <w:rPr>
                <w:rFonts w:ascii="宋体" w:hAnsi="宋体" w:eastAsia="宋体"/>
                <w:sz w:val="20"/>
                <w:szCs w:val="20"/>
              </w:rPr>
            </w:pPr>
            <w:r>
              <w:rPr>
                <w:rFonts w:hint="eastAsia" w:ascii="宋体" w:hAnsi="宋体" w:eastAsia="宋体"/>
                <w:sz w:val="20"/>
                <w:szCs w:val="20"/>
              </w:rPr>
              <w:t>2</w:t>
            </w:r>
          </w:p>
        </w:tc>
        <w:tc>
          <w:tcPr>
            <w:tcW w:w="1550" w:type="dxa"/>
            <w:shd w:val="clear" w:color="auto" w:fill="auto"/>
            <w:noWrap/>
            <w:vAlign w:val="center"/>
          </w:tcPr>
          <w:p w14:paraId="72A96583">
            <w:pPr>
              <w:jc w:val="center"/>
              <w:rPr>
                <w:rFonts w:ascii="宋体" w:hAnsi="宋体" w:eastAsia="宋体"/>
                <w:sz w:val="20"/>
                <w:szCs w:val="20"/>
              </w:rPr>
            </w:pPr>
            <w:r>
              <w:rPr>
                <w:rFonts w:hint="eastAsia" w:ascii="宋体" w:hAnsi="宋体" w:eastAsia="宋体"/>
                <w:sz w:val="20"/>
                <w:szCs w:val="20"/>
              </w:rPr>
              <w:t xml:space="preserve">单杠保护垫     </w:t>
            </w:r>
          </w:p>
        </w:tc>
        <w:tc>
          <w:tcPr>
            <w:tcW w:w="7200" w:type="dxa"/>
            <w:shd w:val="clear" w:color="auto" w:fill="auto"/>
            <w:noWrap/>
            <w:vAlign w:val="center"/>
          </w:tcPr>
          <w:p w14:paraId="4960ACFB">
            <w:pPr>
              <w:widowControl/>
              <w:jc w:val="left"/>
              <w:rPr>
                <w:rFonts w:ascii="宋体" w:hAnsi="宋体" w:eastAsia="宋体" w:cs="宋体"/>
                <w:kern w:val="0"/>
                <w:sz w:val="20"/>
                <w:szCs w:val="20"/>
              </w:rPr>
            </w:pPr>
            <w:r>
              <w:rPr>
                <w:rFonts w:ascii="宋体" w:hAnsi="宋体" w:eastAsia="宋体" w:cs="宋体"/>
                <w:kern w:val="0"/>
                <w:sz w:val="20"/>
                <w:szCs w:val="20"/>
              </w:rPr>
              <w:t>1、专用垫总厚度为200mm，由上下两层不同密度的材料组合而成，弹性舒适；</w:t>
            </w:r>
          </w:p>
          <w:p w14:paraId="55BD8264">
            <w:pPr>
              <w:widowControl/>
              <w:jc w:val="left"/>
              <w:rPr>
                <w:rFonts w:ascii="宋体" w:hAnsi="宋体" w:eastAsia="宋体" w:cs="宋体"/>
                <w:kern w:val="0"/>
                <w:sz w:val="20"/>
                <w:szCs w:val="20"/>
              </w:rPr>
            </w:pPr>
            <w:r>
              <w:rPr>
                <w:rFonts w:ascii="宋体" w:hAnsi="宋体" w:eastAsia="宋体" w:cs="宋体"/>
                <w:kern w:val="0"/>
                <w:sz w:val="20"/>
                <w:szCs w:val="20"/>
              </w:rPr>
              <w:t>2、垫子下层由四块垫子拼装组成，总尺寸：12米×2米，采用侧面缝刺毛毡连接，每块垫子四边各设气孔2个，均匀布置，左右对称缝提手各2个；</w:t>
            </w:r>
          </w:p>
          <w:p w14:paraId="226D3E55">
            <w:pPr>
              <w:widowControl/>
              <w:jc w:val="left"/>
              <w:rPr>
                <w:rFonts w:ascii="宋体" w:hAnsi="宋体" w:eastAsia="宋体" w:cs="宋体"/>
                <w:kern w:val="0"/>
                <w:sz w:val="20"/>
                <w:szCs w:val="20"/>
              </w:rPr>
            </w:pPr>
            <w:r>
              <w:rPr>
                <w:rFonts w:ascii="宋体" w:hAnsi="宋体" w:eastAsia="宋体" w:cs="宋体"/>
                <w:kern w:val="0"/>
                <w:sz w:val="20"/>
                <w:szCs w:val="20"/>
              </w:rPr>
              <w:t>3、垫子上层外包蓝色PVC双面革，表面经防滑处理。</w:t>
            </w:r>
          </w:p>
          <w:p w14:paraId="0137A855">
            <w:pPr>
              <w:widowControl/>
              <w:jc w:val="left"/>
              <w:rPr>
                <w:rFonts w:ascii="宋体" w:hAnsi="宋体" w:eastAsia="宋体" w:cs="宋体"/>
                <w:kern w:val="0"/>
                <w:sz w:val="20"/>
                <w:szCs w:val="20"/>
              </w:rPr>
            </w:pPr>
            <w:r>
              <w:rPr>
                <w:rFonts w:hint="eastAsia" w:ascii="宋体" w:hAnsi="宋体" w:eastAsia="宋体" w:cs="宋体"/>
                <w:kern w:val="0"/>
                <w:sz w:val="20"/>
                <w:szCs w:val="20"/>
              </w:rPr>
              <w:t>★</w:t>
            </w:r>
            <w:r>
              <w:rPr>
                <w:rFonts w:ascii="宋体" w:hAnsi="宋体" w:eastAsia="宋体" w:cs="宋体"/>
                <w:kern w:val="0"/>
                <w:sz w:val="20"/>
                <w:szCs w:val="20"/>
              </w:rPr>
              <w:t>4．海绵:</w:t>
            </w:r>
          </w:p>
          <w:p w14:paraId="2CAA4062">
            <w:pPr>
              <w:widowControl/>
              <w:jc w:val="left"/>
              <w:rPr>
                <w:rFonts w:ascii="宋体" w:hAnsi="宋体" w:eastAsia="宋体" w:cs="宋体"/>
                <w:kern w:val="0"/>
                <w:sz w:val="20"/>
                <w:szCs w:val="20"/>
              </w:rPr>
            </w:pPr>
            <w:r>
              <w:rPr>
                <w:rFonts w:ascii="宋体" w:hAnsi="宋体" w:eastAsia="宋体" w:cs="宋体"/>
                <w:kern w:val="0"/>
                <w:sz w:val="20"/>
                <w:szCs w:val="20"/>
              </w:rPr>
              <w:t>1）海绵密度≥45kg/m3</w:t>
            </w:r>
            <w:r>
              <w:rPr>
                <w:rFonts w:hint="eastAsia" w:ascii="宋体" w:hAnsi="宋体" w:eastAsia="宋体" w:cs="宋体"/>
                <w:kern w:val="0"/>
                <w:sz w:val="20"/>
                <w:szCs w:val="20"/>
              </w:rPr>
              <w:t>，</w:t>
            </w:r>
            <w:r>
              <w:rPr>
                <w:rFonts w:ascii="宋体" w:hAnsi="宋体" w:eastAsia="宋体" w:cs="宋体"/>
                <w:kern w:val="0"/>
                <w:sz w:val="20"/>
                <w:szCs w:val="20"/>
              </w:rPr>
              <w:t>检测方法:参照 GB/T 6343-2009《泡沫塑料及橡胶 表观密度的测定》。</w:t>
            </w:r>
          </w:p>
          <w:p w14:paraId="2739EFF5">
            <w:pPr>
              <w:widowControl/>
              <w:jc w:val="left"/>
              <w:rPr>
                <w:rFonts w:ascii="宋体" w:hAnsi="宋体" w:eastAsia="宋体" w:cs="宋体"/>
                <w:kern w:val="0"/>
                <w:sz w:val="20"/>
                <w:szCs w:val="20"/>
              </w:rPr>
            </w:pPr>
            <w:r>
              <w:rPr>
                <w:rFonts w:ascii="宋体" w:hAnsi="宋体" w:eastAsia="宋体" w:cs="宋体"/>
                <w:kern w:val="0"/>
                <w:sz w:val="20"/>
                <w:szCs w:val="20"/>
              </w:rPr>
              <w:t>2）海绵回弹率≥45%，检测方法:参照 GB/T 6670-2008《软质泡沫聚合材料 落球法回弹性能的测定》</w:t>
            </w:r>
            <w:r>
              <w:rPr>
                <w:rFonts w:hint="eastAsia" w:ascii="宋体" w:hAnsi="宋体" w:eastAsia="宋体" w:cs="宋体"/>
                <w:kern w:val="0"/>
                <w:sz w:val="20"/>
                <w:szCs w:val="20"/>
              </w:rPr>
              <w:t>，方法A。</w:t>
            </w:r>
          </w:p>
          <w:p w14:paraId="57375DD1">
            <w:pPr>
              <w:widowControl/>
              <w:jc w:val="left"/>
              <w:rPr>
                <w:rFonts w:ascii="宋体" w:hAnsi="宋体" w:eastAsia="宋体" w:cs="宋体"/>
                <w:kern w:val="0"/>
                <w:sz w:val="20"/>
                <w:szCs w:val="20"/>
              </w:rPr>
            </w:pPr>
            <w:r>
              <w:rPr>
                <w:rFonts w:ascii="宋体" w:hAnsi="宋体" w:eastAsia="宋体" w:cs="宋体"/>
                <w:kern w:val="0"/>
                <w:sz w:val="20"/>
                <w:szCs w:val="20"/>
              </w:rPr>
              <w:t>3）压缩永久变形</w:t>
            </w:r>
            <w:r>
              <w:rPr>
                <w:rFonts w:hint="eastAsia" w:ascii="宋体" w:hAnsi="宋体" w:eastAsia="宋体" w:cs="宋体"/>
                <w:kern w:val="0"/>
                <w:sz w:val="20"/>
                <w:szCs w:val="20"/>
              </w:rPr>
              <w:t>≤</w:t>
            </w:r>
            <w:r>
              <w:rPr>
                <w:rFonts w:ascii="宋体" w:hAnsi="宋体" w:eastAsia="宋体" w:cs="宋体"/>
                <w:kern w:val="0"/>
                <w:sz w:val="20"/>
                <w:szCs w:val="20"/>
              </w:rPr>
              <w:t>4%，检测方法:参照 GBT 6669-2008《软质泡沫聚合材料 压缩永久变形的测定》。</w:t>
            </w:r>
          </w:p>
          <w:p w14:paraId="472B81A5">
            <w:pPr>
              <w:widowControl/>
              <w:jc w:val="left"/>
              <w:rPr>
                <w:rFonts w:ascii="宋体" w:hAnsi="宋体" w:eastAsia="宋体" w:cs="宋体"/>
                <w:kern w:val="0"/>
                <w:sz w:val="20"/>
                <w:szCs w:val="20"/>
              </w:rPr>
            </w:pPr>
            <w:r>
              <w:rPr>
                <w:rFonts w:ascii="宋体" w:hAnsi="宋体" w:eastAsia="宋体" w:cs="宋体"/>
                <w:kern w:val="0"/>
                <w:sz w:val="20"/>
                <w:szCs w:val="20"/>
              </w:rPr>
              <w:t>4）海绵阻燃符合：EN1021-1:2014(阴燃烟卷)不可燃。EN1021-2:2014(匹配相等的火焰)不可燃。大气条件23±2°c和50±5%相对湿度，至少24小时。</w:t>
            </w:r>
          </w:p>
          <w:p w14:paraId="10DA4E62">
            <w:pPr>
              <w:widowControl/>
              <w:jc w:val="left"/>
              <w:rPr>
                <w:rFonts w:ascii="宋体" w:hAnsi="宋体" w:eastAsia="宋体" w:cs="宋体"/>
                <w:b/>
                <w:kern w:val="0"/>
                <w:sz w:val="20"/>
                <w:szCs w:val="20"/>
              </w:rPr>
            </w:pPr>
            <w:r>
              <w:rPr>
                <w:rFonts w:hint="eastAsia" w:ascii="宋体" w:hAnsi="宋体" w:eastAsia="宋体" w:cs="宋体"/>
                <w:b/>
                <w:kern w:val="0"/>
                <w:sz w:val="20"/>
                <w:szCs w:val="20"/>
              </w:rPr>
              <w:t>参考图片：</w:t>
            </w:r>
          </w:p>
          <w:p w14:paraId="0247C470">
            <w:pPr>
              <w:widowControl/>
              <w:jc w:val="left"/>
              <w:rPr>
                <w:rFonts w:ascii="宋体" w:hAnsi="宋体" w:eastAsia="宋体" w:cs="宋体"/>
                <w:kern w:val="0"/>
                <w:sz w:val="20"/>
                <w:szCs w:val="20"/>
              </w:rPr>
            </w:pPr>
            <w:r>
              <w:rPr>
                <w:sz w:val="20"/>
                <w:szCs w:val="20"/>
              </w:rPr>
              <w:drawing>
                <wp:inline distT="0" distB="0" distL="0" distR="0">
                  <wp:extent cx="2743200" cy="1338580"/>
                  <wp:effectExtent l="0" t="0" r="0" b="0"/>
                  <wp:docPr id="1" name="图片 174" descr="单杠垫"/>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74" descr="单杠垫"/>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2808926" cy="1338580"/>
                          </a:xfrm>
                          <a:prstGeom prst="rect">
                            <a:avLst/>
                          </a:prstGeom>
                          <a:noFill/>
                          <a:ln>
                            <a:noFill/>
                          </a:ln>
                        </pic:spPr>
                      </pic:pic>
                    </a:graphicData>
                  </a:graphic>
                </wp:inline>
              </w:drawing>
            </w:r>
          </w:p>
        </w:tc>
        <w:tc>
          <w:tcPr>
            <w:tcW w:w="683" w:type="dxa"/>
            <w:shd w:val="clear" w:color="auto" w:fill="auto"/>
            <w:noWrap/>
            <w:vAlign w:val="center"/>
          </w:tcPr>
          <w:p w14:paraId="6E82B2BB">
            <w:pPr>
              <w:jc w:val="center"/>
              <w:rPr>
                <w:rFonts w:ascii="宋体" w:hAnsi="宋体" w:eastAsia="宋体"/>
                <w:color w:val="000000"/>
                <w:sz w:val="20"/>
                <w:szCs w:val="20"/>
              </w:rPr>
            </w:pPr>
            <w:r>
              <w:rPr>
                <w:rFonts w:hint="eastAsia" w:ascii="宋体" w:hAnsi="宋体" w:eastAsia="宋体"/>
                <w:color w:val="000000"/>
                <w:sz w:val="20"/>
                <w:szCs w:val="20"/>
              </w:rPr>
              <w:t>套</w:t>
            </w:r>
          </w:p>
        </w:tc>
        <w:tc>
          <w:tcPr>
            <w:tcW w:w="681" w:type="dxa"/>
            <w:shd w:val="clear" w:color="auto" w:fill="auto"/>
            <w:noWrap/>
            <w:vAlign w:val="center"/>
          </w:tcPr>
          <w:p w14:paraId="44C50171">
            <w:pPr>
              <w:jc w:val="center"/>
              <w:rPr>
                <w:rFonts w:ascii="宋体" w:hAnsi="宋体" w:eastAsia="宋体"/>
                <w:color w:val="000000"/>
                <w:sz w:val="20"/>
                <w:szCs w:val="20"/>
              </w:rPr>
            </w:pPr>
            <w:r>
              <w:rPr>
                <w:rFonts w:hint="eastAsia" w:ascii="宋体" w:hAnsi="宋体" w:eastAsia="宋体"/>
                <w:color w:val="000000"/>
                <w:sz w:val="20"/>
                <w:szCs w:val="20"/>
              </w:rPr>
              <w:t>1</w:t>
            </w:r>
          </w:p>
        </w:tc>
      </w:tr>
      <w:tr w14:paraId="6C199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3" w:hRule="atLeast"/>
          <w:jc w:val="center"/>
        </w:trPr>
        <w:tc>
          <w:tcPr>
            <w:tcW w:w="664" w:type="dxa"/>
            <w:vAlign w:val="center"/>
          </w:tcPr>
          <w:p w14:paraId="2B515B44">
            <w:pPr>
              <w:jc w:val="center"/>
              <w:rPr>
                <w:rFonts w:ascii="宋体" w:hAnsi="宋体" w:eastAsia="宋体"/>
                <w:sz w:val="20"/>
                <w:szCs w:val="20"/>
              </w:rPr>
            </w:pPr>
            <w:r>
              <w:rPr>
                <w:rFonts w:hint="eastAsia" w:ascii="宋体" w:hAnsi="宋体" w:eastAsia="宋体"/>
                <w:sz w:val="20"/>
                <w:szCs w:val="20"/>
              </w:rPr>
              <w:t>3</w:t>
            </w:r>
          </w:p>
        </w:tc>
        <w:tc>
          <w:tcPr>
            <w:tcW w:w="1550" w:type="dxa"/>
            <w:shd w:val="clear" w:color="auto" w:fill="auto"/>
            <w:noWrap/>
            <w:vAlign w:val="center"/>
          </w:tcPr>
          <w:p w14:paraId="4FEEB8D5">
            <w:pPr>
              <w:jc w:val="center"/>
              <w:rPr>
                <w:rFonts w:ascii="宋体" w:hAnsi="宋体" w:eastAsia="宋体"/>
                <w:sz w:val="20"/>
                <w:szCs w:val="20"/>
              </w:rPr>
            </w:pPr>
            <w:r>
              <w:rPr>
                <w:rFonts w:hint="eastAsia" w:ascii="宋体" w:hAnsi="宋体" w:eastAsia="宋体"/>
                <w:sz w:val="20"/>
                <w:szCs w:val="20"/>
              </w:rPr>
              <w:t>高级双杠</w:t>
            </w:r>
          </w:p>
        </w:tc>
        <w:tc>
          <w:tcPr>
            <w:tcW w:w="7200" w:type="dxa"/>
            <w:shd w:val="clear" w:color="auto" w:fill="auto"/>
            <w:noWrap/>
            <w:vAlign w:val="center"/>
          </w:tcPr>
          <w:p w14:paraId="43D96543">
            <w:pPr>
              <w:widowControl/>
              <w:jc w:val="left"/>
              <w:rPr>
                <w:rFonts w:ascii="宋体" w:hAnsi="宋体" w:eastAsia="宋体" w:cs="宋体"/>
                <w:kern w:val="0"/>
                <w:sz w:val="20"/>
                <w:szCs w:val="20"/>
              </w:rPr>
            </w:pPr>
            <w:r>
              <w:rPr>
                <w:rFonts w:ascii="宋体" w:hAnsi="宋体" w:eastAsia="宋体" w:cs="宋体"/>
                <w:kern w:val="0"/>
                <w:sz w:val="20"/>
                <w:szCs w:val="20"/>
              </w:rPr>
              <w:t>1、双杠杠面尺寸：长x横截面=3500x（50x40）mm，杠面采用复合玻璃钢材料在专用模具上经特殊加工而成，其杠面有一定的弹性与韧性，且杠面表面具有较好的手感性。杠面静载荷力1350N、极限载荷3500N不列不折， 取消外力残余变形≤1mm。</w:t>
            </w:r>
          </w:p>
          <w:p w14:paraId="511E3664">
            <w:pPr>
              <w:widowControl/>
              <w:jc w:val="left"/>
              <w:rPr>
                <w:rFonts w:ascii="宋体" w:hAnsi="宋体" w:eastAsia="宋体" w:cs="宋体"/>
                <w:kern w:val="0"/>
                <w:sz w:val="20"/>
                <w:szCs w:val="20"/>
              </w:rPr>
            </w:pPr>
            <w:r>
              <w:rPr>
                <w:rFonts w:ascii="宋体" w:hAnsi="宋体" w:eastAsia="宋体" w:cs="宋体"/>
                <w:kern w:val="0"/>
                <w:sz w:val="20"/>
                <w:szCs w:val="20"/>
              </w:rPr>
              <w:t>2、双杠四柱脚为精密铸件，高300mm，柱脚上端设有限位装置且增设锁紧套。柱脚与柱筒连接，柱筒内立柱每50mm设一调节档，杠面高度调节范围：1700—2050mm之间。</w:t>
            </w:r>
          </w:p>
          <w:p w14:paraId="024C9969">
            <w:pPr>
              <w:widowControl/>
              <w:jc w:val="left"/>
              <w:rPr>
                <w:rFonts w:ascii="宋体" w:hAnsi="宋体" w:eastAsia="宋体" w:cs="宋体"/>
                <w:kern w:val="0"/>
                <w:sz w:val="20"/>
                <w:szCs w:val="20"/>
              </w:rPr>
            </w:pPr>
            <w:r>
              <w:rPr>
                <w:rFonts w:ascii="宋体" w:hAnsi="宋体" w:eastAsia="宋体" w:cs="宋体"/>
                <w:kern w:val="0"/>
                <w:sz w:val="20"/>
                <w:szCs w:val="20"/>
              </w:rPr>
              <w:t>3、底座尺寸：长X宽=2400x1300（mm），底座采用δ6 mm的优质钢板压制成型，通过螺栓联成“井”字形结构，便于拆装，底座下设置有橡胶垫块，保持产品在使用过程中有良好的平衡性和抗震性。</w:t>
            </w:r>
          </w:p>
          <w:p w14:paraId="0B3709F9">
            <w:pPr>
              <w:widowControl/>
              <w:jc w:val="left"/>
              <w:rPr>
                <w:rFonts w:ascii="宋体" w:hAnsi="宋体" w:eastAsia="宋体" w:cs="宋体"/>
                <w:kern w:val="0"/>
                <w:sz w:val="20"/>
                <w:szCs w:val="20"/>
              </w:rPr>
            </w:pPr>
            <w:r>
              <w:rPr>
                <w:rFonts w:ascii="宋体" w:hAnsi="宋体" w:eastAsia="宋体" w:cs="宋体"/>
                <w:kern w:val="0"/>
                <w:sz w:val="20"/>
                <w:szCs w:val="20"/>
              </w:rPr>
              <w:t>4、双杠两杠面间距可调，杠面直度≤2mm。</w:t>
            </w:r>
          </w:p>
          <w:p w14:paraId="5D072FDF">
            <w:pPr>
              <w:widowControl/>
              <w:jc w:val="left"/>
              <w:rPr>
                <w:rFonts w:ascii="宋体" w:hAnsi="宋体" w:eastAsia="宋体" w:cs="宋体"/>
                <w:kern w:val="0"/>
                <w:sz w:val="20"/>
                <w:szCs w:val="20"/>
              </w:rPr>
            </w:pPr>
            <w:r>
              <w:rPr>
                <w:rFonts w:ascii="宋体" w:hAnsi="宋体" w:eastAsia="宋体" w:cs="宋体"/>
                <w:kern w:val="0"/>
                <w:sz w:val="20"/>
                <w:szCs w:val="20"/>
              </w:rPr>
              <w:t>5、双杠外管采用φ60x4 mm无缝管制作，内立柱为Φ50 mm优质圆钢，表面经热镀锌处理。</w:t>
            </w:r>
          </w:p>
          <w:p w14:paraId="515D2257">
            <w:pPr>
              <w:widowControl/>
              <w:jc w:val="left"/>
              <w:rPr>
                <w:rFonts w:ascii="宋体" w:hAnsi="宋体" w:eastAsia="宋体" w:cs="宋体"/>
                <w:kern w:val="0"/>
                <w:sz w:val="20"/>
                <w:szCs w:val="20"/>
              </w:rPr>
            </w:pPr>
            <w:r>
              <w:rPr>
                <w:rFonts w:ascii="宋体" w:hAnsi="宋体" w:eastAsia="宋体" w:cs="宋体"/>
                <w:kern w:val="0"/>
                <w:sz w:val="20"/>
                <w:szCs w:val="20"/>
              </w:rPr>
              <w:t>6、双杠配备的移动小车利用偏心原理，其偏心挂钩钩住底座腰形孔，将手把向下轻压至底座上，双杠整体向上，只需一人手握杠面即可轻推双杠移动。</w:t>
            </w:r>
          </w:p>
          <w:p w14:paraId="2BAD5459">
            <w:pPr>
              <w:widowControl/>
              <w:jc w:val="left"/>
              <w:rPr>
                <w:rFonts w:ascii="宋体" w:hAnsi="宋体" w:eastAsia="宋体" w:cs="宋体"/>
                <w:kern w:val="0"/>
                <w:sz w:val="20"/>
                <w:szCs w:val="20"/>
              </w:rPr>
            </w:pPr>
            <w:r>
              <w:rPr>
                <w:rFonts w:hint="eastAsia" w:ascii="宋体" w:hAnsi="宋体" w:eastAsia="宋体" w:cs="宋体"/>
                <w:kern w:val="0"/>
                <w:sz w:val="20"/>
                <w:szCs w:val="20"/>
              </w:rPr>
              <w:t>★</w:t>
            </w:r>
            <w:r>
              <w:rPr>
                <w:rFonts w:ascii="宋体" w:hAnsi="宋体" w:eastAsia="宋体" w:cs="宋体"/>
                <w:kern w:val="0"/>
                <w:sz w:val="20"/>
                <w:szCs w:val="20"/>
              </w:rPr>
              <w:t>7、</w:t>
            </w:r>
            <w:r>
              <w:rPr>
                <w:rFonts w:hint="eastAsia" w:ascii="宋体" w:hAnsi="宋体" w:eastAsia="宋体" w:cs="宋体"/>
                <w:kern w:val="0"/>
                <w:sz w:val="20"/>
                <w:szCs w:val="20"/>
              </w:rPr>
              <w:t>产品所有器材均在全自动喷涂流水线上作业，经抛丸——脱脂——水洗——无磷转化——水洗——烘干——静电粉末——固化等过程。涂层表面附着力参照</w:t>
            </w:r>
            <w:r>
              <w:rPr>
                <w:rFonts w:ascii="宋体" w:hAnsi="宋体" w:eastAsia="宋体" w:cs="宋体"/>
                <w:kern w:val="0"/>
                <w:sz w:val="20"/>
                <w:szCs w:val="20"/>
              </w:rPr>
              <w:t>GB/T3325-2017要求：附着力不低于2级，耐腐蚀性能≥6级。产品具有耐酸碱、耐湿热、抗老化、外观美观等优点，能适合潮湿和酸雨环境，且产品涂料配方不含有毒元素，避免损害使用者的健康。</w:t>
            </w:r>
          </w:p>
        </w:tc>
        <w:tc>
          <w:tcPr>
            <w:tcW w:w="683" w:type="dxa"/>
            <w:shd w:val="clear" w:color="auto" w:fill="auto"/>
            <w:noWrap/>
            <w:vAlign w:val="center"/>
          </w:tcPr>
          <w:p w14:paraId="4FA98BC1">
            <w:pPr>
              <w:jc w:val="center"/>
              <w:rPr>
                <w:rFonts w:ascii="宋体" w:hAnsi="宋体" w:eastAsia="宋体"/>
                <w:color w:val="000000"/>
                <w:sz w:val="20"/>
                <w:szCs w:val="20"/>
              </w:rPr>
            </w:pPr>
            <w:r>
              <w:rPr>
                <w:rFonts w:hint="eastAsia" w:ascii="宋体" w:hAnsi="宋体" w:eastAsia="宋体"/>
                <w:color w:val="000000"/>
                <w:sz w:val="20"/>
                <w:szCs w:val="20"/>
              </w:rPr>
              <w:t>套</w:t>
            </w:r>
          </w:p>
        </w:tc>
        <w:tc>
          <w:tcPr>
            <w:tcW w:w="681" w:type="dxa"/>
            <w:shd w:val="clear" w:color="auto" w:fill="auto"/>
            <w:noWrap/>
            <w:vAlign w:val="center"/>
          </w:tcPr>
          <w:p w14:paraId="2757C0FD">
            <w:pPr>
              <w:jc w:val="center"/>
              <w:rPr>
                <w:rFonts w:ascii="宋体" w:hAnsi="宋体" w:eastAsia="宋体"/>
                <w:color w:val="000000"/>
                <w:sz w:val="20"/>
                <w:szCs w:val="20"/>
              </w:rPr>
            </w:pPr>
            <w:r>
              <w:rPr>
                <w:rFonts w:hint="eastAsia" w:ascii="宋体" w:hAnsi="宋体" w:eastAsia="宋体"/>
                <w:color w:val="000000"/>
                <w:sz w:val="20"/>
                <w:szCs w:val="20"/>
              </w:rPr>
              <w:t>1</w:t>
            </w:r>
          </w:p>
        </w:tc>
      </w:tr>
      <w:tr w14:paraId="26A60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1" w:hRule="atLeast"/>
          <w:jc w:val="center"/>
        </w:trPr>
        <w:tc>
          <w:tcPr>
            <w:tcW w:w="664" w:type="dxa"/>
            <w:vAlign w:val="center"/>
          </w:tcPr>
          <w:p w14:paraId="72F2F882">
            <w:pPr>
              <w:jc w:val="center"/>
              <w:rPr>
                <w:rFonts w:ascii="宋体" w:hAnsi="宋体" w:eastAsia="宋体"/>
                <w:sz w:val="20"/>
                <w:szCs w:val="20"/>
              </w:rPr>
            </w:pPr>
            <w:r>
              <w:rPr>
                <w:rFonts w:hint="eastAsia" w:ascii="宋体" w:hAnsi="宋体" w:eastAsia="宋体"/>
                <w:sz w:val="20"/>
                <w:szCs w:val="20"/>
              </w:rPr>
              <w:t>4</w:t>
            </w:r>
          </w:p>
        </w:tc>
        <w:tc>
          <w:tcPr>
            <w:tcW w:w="1550" w:type="dxa"/>
            <w:shd w:val="clear" w:color="auto" w:fill="auto"/>
            <w:noWrap/>
            <w:vAlign w:val="center"/>
          </w:tcPr>
          <w:p w14:paraId="63FB4E72">
            <w:pPr>
              <w:jc w:val="center"/>
              <w:rPr>
                <w:rFonts w:ascii="宋体" w:hAnsi="宋体" w:eastAsia="宋体"/>
                <w:sz w:val="20"/>
                <w:szCs w:val="20"/>
              </w:rPr>
            </w:pPr>
            <w:r>
              <w:rPr>
                <w:rFonts w:hint="eastAsia" w:ascii="宋体" w:hAnsi="宋体" w:eastAsia="宋体"/>
                <w:sz w:val="20"/>
                <w:szCs w:val="20"/>
              </w:rPr>
              <w:t>双杠保护垫</w:t>
            </w:r>
          </w:p>
        </w:tc>
        <w:tc>
          <w:tcPr>
            <w:tcW w:w="7200" w:type="dxa"/>
            <w:shd w:val="clear" w:color="auto" w:fill="auto"/>
            <w:noWrap/>
            <w:vAlign w:val="center"/>
          </w:tcPr>
          <w:p w14:paraId="1D6C4DDE">
            <w:pPr>
              <w:widowControl/>
              <w:jc w:val="left"/>
              <w:rPr>
                <w:rFonts w:ascii="宋体" w:hAnsi="宋体" w:eastAsia="宋体" w:cs="宋体"/>
                <w:kern w:val="0"/>
                <w:sz w:val="20"/>
                <w:szCs w:val="20"/>
              </w:rPr>
            </w:pPr>
            <w:r>
              <w:rPr>
                <w:rFonts w:ascii="宋体" w:hAnsi="宋体" w:eastAsia="宋体" w:cs="宋体"/>
                <w:kern w:val="0"/>
                <w:sz w:val="20"/>
                <w:szCs w:val="20"/>
              </w:rPr>
              <w:t>1、专用垫总厚度为200mm，由上下两层不同密度的材料组合而成，弹性舒适；</w:t>
            </w:r>
          </w:p>
          <w:p w14:paraId="42620F4A">
            <w:pPr>
              <w:widowControl/>
              <w:jc w:val="left"/>
              <w:rPr>
                <w:rFonts w:ascii="宋体" w:hAnsi="宋体" w:eastAsia="宋体" w:cs="宋体"/>
                <w:kern w:val="0"/>
                <w:sz w:val="20"/>
                <w:szCs w:val="20"/>
              </w:rPr>
            </w:pPr>
            <w:r>
              <w:rPr>
                <w:rFonts w:ascii="宋体" w:hAnsi="宋体" w:eastAsia="宋体" w:cs="宋体"/>
                <w:kern w:val="0"/>
                <w:sz w:val="20"/>
                <w:szCs w:val="20"/>
              </w:rPr>
              <w:t>2、垫子下层由十块垫子拼装组成，总尺寸：12米×6米。采用侧面缝刺毛毡连接，每块垫子四边各设气孔2个，均匀布置，左右对称缝提手各2个，与双杠底座接触部分切角或在下层挖空；</w:t>
            </w:r>
          </w:p>
          <w:p w14:paraId="4182300E">
            <w:pPr>
              <w:widowControl/>
              <w:jc w:val="left"/>
              <w:rPr>
                <w:rFonts w:ascii="宋体" w:hAnsi="宋体" w:eastAsia="宋体" w:cs="宋体"/>
                <w:kern w:val="0"/>
                <w:sz w:val="20"/>
                <w:szCs w:val="20"/>
              </w:rPr>
            </w:pPr>
            <w:r>
              <w:rPr>
                <w:rFonts w:ascii="宋体" w:hAnsi="宋体" w:eastAsia="宋体" w:cs="宋体"/>
                <w:kern w:val="0"/>
                <w:sz w:val="20"/>
                <w:szCs w:val="20"/>
              </w:rPr>
              <w:t>3、垫子上层外包蓝色PVC双面革，表面经防滑处理。</w:t>
            </w:r>
          </w:p>
          <w:p w14:paraId="52610FD5">
            <w:pPr>
              <w:widowControl/>
              <w:jc w:val="left"/>
              <w:rPr>
                <w:rFonts w:ascii="宋体" w:hAnsi="宋体" w:eastAsia="宋体" w:cs="宋体"/>
                <w:kern w:val="0"/>
                <w:sz w:val="20"/>
                <w:szCs w:val="20"/>
              </w:rPr>
            </w:pPr>
            <w:r>
              <w:rPr>
                <w:rFonts w:hint="eastAsia" w:ascii="宋体" w:hAnsi="宋体" w:eastAsia="宋体" w:cs="宋体"/>
                <w:kern w:val="0"/>
                <w:sz w:val="20"/>
                <w:szCs w:val="20"/>
              </w:rPr>
              <w:t>★</w:t>
            </w:r>
            <w:r>
              <w:rPr>
                <w:rFonts w:ascii="宋体" w:hAnsi="宋体" w:eastAsia="宋体" w:cs="宋体"/>
                <w:kern w:val="0"/>
                <w:sz w:val="20"/>
                <w:szCs w:val="20"/>
              </w:rPr>
              <w:t>4．海绵:</w:t>
            </w:r>
          </w:p>
          <w:p w14:paraId="4FC43FA9">
            <w:pPr>
              <w:widowControl/>
              <w:jc w:val="left"/>
              <w:rPr>
                <w:rFonts w:ascii="宋体" w:hAnsi="宋体" w:eastAsia="宋体" w:cs="宋体"/>
                <w:kern w:val="0"/>
                <w:sz w:val="20"/>
                <w:szCs w:val="20"/>
              </w:rPr>
            </w:pPr>
            <w:r>
              <w:rPr>
                <w:rFonts w:ascii="宋体" w:hAnsi="宋体" w:eastAsia="宋体" w:cs="宋体"/>
                <w:kern w:val="0"/>
                <w:sz w:val="20"/>
                <w:szCs w:val="20"/>
              </w:rPr>
              <w:t>1）海绵密度≥45kg/m3</w:t>
            </w:r>
            <w:r>
              <w:rPr>
                <w:rFonts w:hint="eastAsia" w:ascii="宋体" w:hAnsi="宋体" w:eastAsia="宋体" w:cs="宋体"/>
                <w:kern w:val="0"/>
                <w:sz w:val="20"/>
                <w:szCs w:val="20"/>
              </w:rPr>
              <w:t>，</w:t>
            </w:r>
            <w:r>
              <w:rPr>
                <w:rFonts w:ascii="宋体" w:hAnsi="宋体" w:eastAsia="宋体" w:cs="宋体"/>
                <w:kern w:val="0"/>
                <w:sz w:val="20"/>
                <w:szCs w:val="20"/>
              </w:rPr>
              <w:t>检测方法:参照 GB/T 6343-2009《泡沫塑料及橡胶 表观密度的测定》。</w:t>
            </w:r>
          </w:p>
          <w:p w14:paraId="1EAFBFB0">
            <w:pPr>
              <w:widowControl/>
              <w:jc w:val="left"/>
              <w:rPr>
                <w:rFonts w:ascii="宋体" w:hAnsi="宋体" w:eastAsia="宋体" w:cs="宋体"/>
                <w:kern w:val="0"/>
                <w:sz w:val="20"/>
                <w:szCs w:val="20"/>
              </w:rPr>
            </w:pPr>
            <w:r>
              <w:rPr>
                <w:rFonts w:ascii="宋体" w:hAnsi="宋体" w:eastAsia="宋体" w:cs="宋体"/>
                <w:kern w:val="0"/>
                <w:sz w:val="20"/>
                <w:szCs w:val="20"/>
              </w:rPr>
              <w:t>2）海绵回弹率≥45%，检测方法:参照 GB/T 6670-2008《软质泡沫聚合材料 落球法回弹性能的测定》</w:t>
            </w:r>
            <w:r>
              <w:rPr>
                <w:rFonts w:hint="eastAsia" w:ascii="宋体" w:hAnsi="宋体" w:eastAsia="宋体" w:cs="宋体"/>
                <w:kern w:val="0"/>
                <w:sz w:val="20"/>
                <w:szCs w:val="20"/>
              </w:rPr>
              <w:t>，方法A。</w:t>
            </w:r>
          </w:p>
          <w:p w14:paraId="17EFD127">
            <w:pPr>
              <w:widowControl/>
              <w:jc w:val="left"/>
              <w:rPr>
                <w:rFonts w:ascii="宋体" w:hAnsi="宋体" w:eastAsia="宋体" w:cs="宋体"/>
                <w:kern w:val="0"/>
                <w:sz w:val="20"/>
                <w:szCs w:val="20"/>
              </w:rPr>
            </w:pPr>
            <w:r>
              <w:rPr>
                <w:rFonts w:ascii="宋体" w:hAnsi="宋体" w:eastAsia="宋体" w:cs="宋体"/>
                <w:kern w:val="0"/>
                <w:sz w:val="20"/>
                <w:szCs w:val="20"/>
              </w:rPr>
              <w:t>3）压缩永久变形</w:t>
            </w:r>
            <w:r>
              <w:rPr>
                <w:rFonts w:hint="eastAsia" w:ascii="宋体" w:hAnsi="宋体" w:eastAsia="宋体" w:cs="宋体"/>
                <w:kern w:val="0"/>
                <w:sz w:val="20"/>
                <w:szCs w:val="20"/>
              </w:rPr>
              <w:t>≤</w:t>
            </w:r>
            <w:r>
              <w:rPr>
                <w:rFonts w:ascii="宋体" w:hAnsi="宋体" w:eastAsia="宋体" w:cs="宋体"/>
                <w:kern w:val="0"/>
                <w:sz w:val="20"/>
                <w:szCs w:val="20"/>
              </w:rPr>
              <w:t>4%，检测方法:参照 GBT 6669-2008《软质泡沫聚合材料 压缩永久变形的测定》。</w:t>
            </w:r>
          </w:p>
          <w:p w14:paraId="7DCCB32C">
            <w:pPr>
              <w:widowControl/>
              <w:jc w:val="left"/>
              <w:rPr>
                <w:rFonts w:ascii="宋体" w:hAnsi="宋体" w:eastAsia="宋体" w:cs="宋体"/>
                <w:kern w:val="0"/>
                <w:sz w:val="20"/>
                <w:szCs w:val="20"/>
              </w:rPr>
            </w:pPr>
            <w:r>
              <w:rPr>
                <w:rFonts w:ascii="宋体" w:hAnsi="宋体" w:eastAsia="宋体" w:cs="宋体"/>
                <w:kern w:val="0"/>
                <w:sz w:val="20"/>
                <w:szCs w:val="20"/>
              </w:rPr>
              <w:t>4）海绵阻燃符合：EN1021-1:2014(阴燃烟卷)不可燃。EN1021-2:2014(匹配相等的火焰)不可燃。大气条件23±2°c和50±5%相对湿度，至少24小时。</w:t>
            </w:r>
          </w:p>
          <w:p w14:paraId="581335C4">
            <w:pPr>
              <w:widowControl/>
              <w:jc w:val="left"/>
              <w:rPr>
                <w:rFonts w:ascii="宋体" w:hAnsi="宋体" w:eastAsia="宋体" w:cs="宋体"/>
                <w:b/>
                <w:kern w:val="0"/>
                <w:sz w:val="20"/>
                <w:szCs w:val="20"/>
              </w:rPr>
            </w:pPr>
            <w:r>
              <w:rPr>
                <w:rFonts w:hint="eastAsia" w:ascii="宋体" w:hAnsi="宋体" w:eastAsia="宋体" w:cs="宋体"/>
                <w:b/>
                <w:kern w:val="0"/>
                <w:sz w:val="20"/>
                <w:szCs w:val="20"/>
              </w:rPr>
              <w:t>参考图片：</w:t>
            </w:r>
          </w:p>
          <w:p w14:paraId="1D3C832B">
            <w:pPr>
              <w:widowControl/>
              <w:jc w:val="left"/>
              <w:rPr>
                <w:rFonts w:ascii="宋体" w:hAnsi="宋体" w:eastAsia="宋体" w:cs="宋体"/>
                <w:kern w:val="0"/>
                <w:sz w:val="20"/>
                <w:szCs w:val="20"/>
              </w:rPr>
            </w:pPr>
            <w:r>
              <w:rPr>
                <w:sz w:val="20"/>
                <w:szCs w:val="20"/>
              </w:rPr>
              <w:drawing>
                <wp:inline distT="0" distB="0" distL="0" distR="0">
                  <wp:extent cx="2743200" cy="1562100"/>
                  <wp:effectExtent l="0" t="0" r="0" b="0"/>
                  <wp:docPr id="2" name="图片 172" descr="双杠垫"/>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72" descr="双杠垫"/>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2743200" cy="1562400"/>
                          </a:xfrm>
                          <a:prstGeom prst="rect">
                            <a:avLst/>
                          </a:prstGeom>
                          <a:noFill/>
                          <a:ln>
                            <a:noFill/>
                          </a:ln>
                        </pic:spPr>
                      </pic:pic>
                    </a:graphicData>
                  </a:graphic>
                </wp:inline>
              </w:drawing>
            </w:r>
          </w:p>
        </w:tc>
        <w:tc>
          <w:tcPr>
            <w:tcW w:w="683" w:type="dxa"/>
            <w:shd w:val="clear" w:color="auto" w:fill="auto"/>
            <w:noWrap/>
            <w:vAlign w:val="center"/>
          </w:tcPr>
          <w:p w14:paraId="0CA21627">
            <w:pPr>
              <w:jc w:val="center"/>
              <w:rPr>
                <w:rFonts w:ascii="宋体" w:hAnsi="宋体" w:eastAsia="宋体"/>
                <w:color w:val="000000"/>
                <w:sz w:val="20"/>
                <w:szCs w:val="20"/>
              </w:rPr>
            </w:pPr>
            <w:r>
              <w:rPr>
                <w:rFonts w:hint="eastAsia" w:ascii="宋体" w:hAnsi="宋体" w:eastAsia="宋体"/>
                <w:color w:val="000000"/>
                <w:sz w:val="20"/>
                <w:szCs w:val="20"/>
              </w:rPr>
              <w:t>套</w:t>
            </w:r>
          </w:p>
        </w:tc>
        <w:tc>
          <w:tcPr>
            <w:tcW w:w="681" w:type="dxa"/>
            <w:shd w:val="clear" w:color="auto" w:fill="auto"/>
            <w:noWrap/>
            <w:vAlign w:val="center"/>
          </w:tcPr>
          <w:p w14:paraId="442A168E">
            <w:pPr>
              <w:jc w:val="center"/>
              <w:rPr>
                <w:rFonts w:ascii="宋体" w:hAnsi="宋体" w:eastAsia="宋体"/>
                <w:color w:val="000000"/>
                <w:sz w:val="20"/>
                <w:szCs w:val="20"/>
              </w:rPr>
            </w:pPr>
            <w:r>
              <w:rPr>
                <w:rFonts w:hint="eastAsia" w:ascii="宋体" w:hAnsi="宋体" w:eastAsia="宋体"/>
                <w:color w:val="000000"/>
                <w:sz w:val="20"/>
                <w:szCs w:val="20"/>
              </w:rPr>
              <w:t>1</w:t>
            </w:r>
          </w:p>
        </w:tc>
      </w:tr>
      <w:tr w14:paraId="5C6CD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3" w:hRule="atLeast"/>
          <w:jc w:val="center"/>
        </w:trPr>
        <w:tc>
          <w:tcPr>
            <w:tcW w:w="664" w:type="dxa"/>
            <w:vAlign w:val="center"/>
          </w:tcPr>
          <w:p w14:paraId="18EB1563">
            <w:pPr>
              <w:jc w:val="center"/>
              <w:rPr>
                <w:rFonts w:ascii="宋体" w:hAnsi="宋体" w:eastAsia="宋体"/>
                <w:sz w:val="20"/>
                <w:szCs w:val="20"/>
              </w:rPr>
            </w:pPr>
            <w:r>
              <w:rPr>
                <w:rFonts w:hint="eastAsia" w:ascii="宋体" w:hAnsi="宋体" w:eastAsia="宋体"/>
                <w:sz w:val="20"/>
                <w:szCs w:val="20"/>
              </w:rPr>
              <w:t>5</w:t>
            </w:r>
          </w:p>
        </w:tc>
        <w:tc>
          <w:tcPr>
            <w:tcW w:w="1550" w:type="dxa"/>
            <w:shd w:val="clear" w:color="auto" w:fill="auto"/>
            <w:noWrap/>
            <w:vAlign w:val="center"/>
          </w:tcPr>
          <w:p w14:paraId="0FE52D2F">
            <w:pPr>
              <w:jc w:val="center"/>
              <w:rPr>
                <w:rFonts w:ascii="宋体" w:hAnsi="宋体" w:eastAsia="宋体"/>
                <w:sz w:val="20"/>
                <w:szCs w:val="20"/>
              </w:rPr>
            </w:pPr>
            <w:r>
              <w:rPr>
                <w:rFonts w:hint="eastAsia" w:ascii="宋体" w:hAnsi="宋体" w:eastAsia="宋体"/>
                <w:sz w:val="20"/>
                <w:szCs w:val="20"/>
              </w:rPr>
              <w:t>S助跳板</w:t>
            </w:r>
          </w:p>
        </w:tc>
        <w:tc>
          <w:tcPr>
            <w:tcW w:w="7200" w:type="dxa"/>
            <w:shd w:val="clear" w:color="auto" w:fill="auto"/>
            <w:noWrap/>
            <w:vAlign w:val="center"/>
          </w:tcPr>
          <w:p w14:paraId="0E0CE0A6">
            <w:pPr>
              <w:widowControl/>
              <w:jc w:val="left"/>
              <w:rPr>
                <w:rFonts w:ascii="宋体" w:hAnsi="宋体" w:eastAsia="宋体" w:cs="宋体"/>
                <w:kern w:val="0"/>
                <w:sz w:val="20"/>
                <w:szCs w:val="20"/>
              </w:rPr>
            </w:pPr>
            <w:r>
              <w:rPr>
                <w:rFonts w:ascii="宋体" w:hAnsi="宋体" w:eastAsia="宋体" w:cs="宋体"/>
                <w:kern w:val="0"/>
                <w:sz w:val="20"/>
                <w:szCs w:val="20"/>
              </w:rPr>
              <w:t>1、基本尺寸：长x宽x高=1200x600x200mm</w:t>
            </w:r>
          </w:p>
          <w:p w14:paraId="30015FBF">
            <w:pPr>
              <w:widowControl/>
              <w:jc w:val="left"/>
              <w:rPr>
                <w:rFonts w:ascii="宋体" w:hAnsi="宋体" w:eastAsia="宋体" w:cs="宋体"/>
                <w:kern w:val="0"/>
                <w:sz w:val="20"/>
                <w:szCs w:val="20"/>
              </w:rPr>
            </w:pPr>
            <w:r>
              <w:rPr>
                <w:rFonts w:ascii="宋体" w:hAnsi="宋体" w:eastAsia="宋体" w:cs="宋体"/>
                <w:kern w:val="0"/>
                <w:sz w:val="20"/>
                <w:szCs w:val="20"/>
              </w:rPr>
              <w:t>2、S助跳板主体结构分三层，上层为挠性曲面板，中层为弹性曲面板，底层为二块弧面板，面板经专用机械压制成型，曲线流畅，美观大方。</w:t>
            </w:r>
          </w:p>
          <w:p w14:paraId="4A641221">
            <w:pPr>
              <w:widowControl/>
              <w:jc w:val="left"/>
              <w:rPr>
                <w:rFonts w:ascii="宋体" w:hAnsi="宋体" w:eastAsia="宋体" w:cs="宋体"/>
                <w:kern w:val="0"/>
                <w:sz w:val="20"/>
                <w:szCs w:val="20"/>
              </w:rPr>
            </w:pPr>
            <w:r>
              <w:rPr>
                <w:rFonts w:ascii="宋体" w:hAnsi="宋体" w:eastAsia="宋体" w:cs="宋体"/>
                <w:kern w:val="0"/>
                <w:sz w:val="20"/>
                <w:szCs w:val="20"/>
              </w:rPr>
              <w:t>3、在跳板上板最高处中央施加6000牛顿的压力能将板下压85mm高度，取消外力后能恢复原位。</w:t>
            </w:r>
          </w:p>
          <w:p w14:paraId="2DF7E929">
            <w:pPr>
              <w:widowControl/>
              <w:jc w:val="left"/>
              <w:rPr>
                <w:rFonts w:ascii="宋体" w:hAnsi="宋体" w:eastAsia="宋体" w:cs="宋体"/>
                <w:kern w:val="0"/>
                <w:sz w:val="20"/>
                <w:szCs w:val="20"/>
              </w:rPr>
            </w:pPr>
            <w:r>
              <w:rPr>
                <w:rFonts w:ascii="宋体" w:hAnsi="宋体" w:eastAsia="宋体" w:cs="宋体"/>
                <w:kern w:val="0"/>
                <w:sz w:val="20"/>
                <w:szCs w:val="20"/>
              </w:rPr>
              <w:t>4、S助跳板上板表面覆有腈纶地毯，起防滑作用。</w:t>
            </w:r>
          </w:p>
          <w:p w14:paraId="627C490F">
            <w:pPr>
              <w:widowControl/>
              <w:jc w:val="left"/>
              <w:rPr>
                <w:rFonts w:ascii="宋体" w:hAnsi="宋体" w:eastAsia="宋体" w:cs="宋体"/>
                <w:kern w:val="0"/>
                <w:sz w:val="20"/>
                <w:szCs w:val="20"/>
              </w:rPr>
            </w:pPr>
            <w:r>
              <w:rPr>
                <w:rFonts w:hint="eastAsia" w:ascii="宋体" w:hAnsi="宋体" w:eastAsia="宋体" w:cs="宋体"/>
                <w:kern w:val="0"/>
                <w:sz w:val="20"/>
                <w:szCs w:val="20"/>
              </w:rPr>
              <w:t>★</w:t>
            </w:r>
            <w:r>
              <w:rPr>
                <w:rFonts w:ascii="宋体" w:hAnsi="宋体" w:eastAsia="宋体" w:cs="宋体"/>
                <w:kern w:val="0"/>
                <w:sz w:val="20"/>
                <w:szCs w:val="20"/>
              </w:rPr>
              <w:t>5．层压板:</w:t>
            </w:r>
          </w:p>
          <w:p w14:paraId="0E93B2C1">
            <w:pPr>
              <w:widowControl/>
              <w:jc w:val="left"/>
              <w:rPr>
                <w:rFonts w:ascii="宋体" w:hAnsi="宋体" w:eastAsia="宋体" w:cs="宋体"/>
                <w:kern w:val="0"/>
                <w:sz w:val="20"/>
                <w:szCs w:val="20"/>
              </w:rPr>
            </w:pPr>
            <w:r>
              <w:rPr>
                <w:rFonts w:ascii="宋体" w:hAnsi="宋体" w:eastAsia="宋体" w:cs="宋体"/>
                <w:kern w:val="0"/>
                <w:sz w:val="20"/>
                <w:szCs w:val="20"/>
              </w:rPr>
              <w:t>1）层压板阻燃符合：GB8624-2012《建筑材料及制品燃烧性能</w:t>
            </w:r>
            <w:r>
              <w:rPr>
                <w:rFonts w:hint="eastAsia" w:ascii="宋体" w:hAnsi="宋体" w:eastAsia="宋体" w:cs="宋体"/>
                <w:kern w:val="0"/>
                <w:sz w:val="20"/>
                <w:szCs w:val="20"/>
              </w:rPr>
              <w:t>分级</w:t>
            </w:r>
            <w:r>
              <w:rPr>
                <w:rFonts w:ascii="宋体" w:hAnsi="宋体" w:eastAsia="宋体" w:cs="宋体"/>
                <w:kern w:val="0"/>
                <w:sz w:val="20"/>
                <w:szCs w:val="20"/>
              </w:rPr>
              <w:t>》测试结果B1级要求。GB/T8626-2007《建筑材料可燃性试验方法》60s过滤纸没有被引燃。GB/T20284-2006《建筑材料或制品的单体燃烧试验》600s内燃烧无滴落物/颗粒。</w:t>
            </w:r>
          </w:p>
          <w:p w14:paraId="579CCAC1">
            <w:pPr>
              <w:widowControl/>
              <w:jc w:val="left"/>
              <w:rPr>
                <w:rFonts w:ascii="宋体" w:hAnsi="宋体" w:eastAsia="宋体" w:cs="宋体"/>
                <w:kern w:val="0"/>
                <w:sz w:val="20"/>
                <w:szCs w:val="20"/>
              </w:rPr>
            </w:pPr>
            <w:r>
              <w:rPr>
                <w:rFonts w:ascii="宋体" w:hAnsi="宋体" w:eastAsia="宋体" w:cs="宋体"/>
                <w:kern w:val="0"/>
                <w:sz w:val="20"/>
                <w:szCs w:val="20"/>
              </w:rPr>
              <w:t>2）层压板甲醛释放限量≤1.5mg/L，符合 GB 18584-2001《室内装饰装修材料 木家具中有害物质限量》规范要求。</w:t>
            </w:r>
          </w:p>
        </w:tc>
        <w:tc>
          <w:tcPr>
            <w:tcW w:w="683" w:type="dxa"/>
            <w:shd w:val="clear" w:color="auto" w:fill="auto"/>
            <w:noWrap/>
            <w:vAlign w:val="center"/>
          </w:tcPr>
          <w:p w14:paraId="6F051ADD">
            <w:pPr>
              <w:jc w:val="center"/>
              <w:rPr>
                <w:rFonts w:ascii="宋体" w:hAnsi="宋体" w:eastAsia="宋体"/>
                <w:color w:val="000000"/>
                <w:sz w:val="20"/>
                <w:szCs w:val="20"/>
              </w:rPr>
            </w:pPr>
            <w:r>
              <w:rPr>
                <w:rFonts w:hint="eastAsia" w:ascii="宋体" w:hAnsi="宋体" w:eastAsia="宋体"/>
                <w:color w:val="000000"/>
                <w:sz w:val="20"/>
                <w:szCs w:val="20"/>
              </w:rPr>
              <w:t>件</w:t>
            </w:r>
          </w:p>
        </w:tc>
        <w:tc>
          <w:tcPr>
            <w:tcW w:w="681" w:type="dxa"/>
            <w:shd w:val="clear" w:color="auto" w:fill="auto"/>
            <w:noWrap/>
            <w:vAlign w:val="center"/>
          </w:tcPr>
          <w:p w14:paraId="5A08C473">
            <w:pPr>
              <w:jc w:val="center"/>
              <w:rPr>
                <w:rFonts w:ascii="宋体" w:hAnsi="宋体" w:eastAsia="宋体"/>
                <w:color w:val="000000"/>
                <w:sz w:val="20"/>
                <w:szCs w:val="20"/>
              </w:rPr>
            </w:pPr>
            <w:r>
              <w:rPr>
                <w:rFonts w:hint="eastAsia" w:ascii="宋体" w:hAnsi="宋体" w:eastAsia="宋体"/>
                <w:color w:val="000000"/>
                <w:sz w:val="20"/>
                <w:szCs w:val="20"/>
              </w:rPr>
              <w:t>2</w:t>
            </w:r>
          </w:p>
        </w:tc>
      </w:tr>
      <w:tr w14:paraId="0DF8E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4" w:hRule="atLeast"/>
          <w:jc w:val="center"/>
        </w:trPr>
        <w:tc>
          <w:tcPr>
            <w:tcW w:w="664" w:type="dxa"/>
            <w:vAlign w:val="center"/>
          </w:tcPr>
          <w:p w14:paraId="56E84FBF">
            <w:pPr>
              <w:jc w:val="center"/>
              <w:rPr>
                <w:rFonts w:ascii="宋体" w:hAnsi="宋体" w:eastAsia="宋体"/>
                <w:sz w:val="20"/>
                <w:szCs w:val="20"/>
              </w:rPr>
            </w:pPr>
            <w:r>
              <w:rPr>
                <w:rFonts w:hint="eastAsia" w:ascii="宋体" w:hAnsi="宋体" w:eastAsia="宋体"/>
                <w:sz w:val="20"/>
                <w:szCs w:val="20"/>
              </w:rPr>
              <w:t>6</w:t>
            </w:r>
          </w:p>
        </w:tc>
        <w:tc>
          <w:tcPr>
            <w:tcW w:w="1550" w:type="dxa"/>
            <w:shd w:val="clear" w:color="auto" w:fill="auto"/>
            <w:noWrap/>
            <w:vAlign w:val="center"/>
          </w:tcPr>
          <w:p w14:paraId="46366B8C">
            <w:pPr>
              <w:jc w:val="center"/>
              <w:rPr>
                <w:rFonts w:ascii="宋体" w:hAnsi="宋体" w:eastAsia="宋体"/>
                <w:sz w:val="20"/>
                <w:szCs w:val="20"/>
              </w:rPr>
            </w:pPr>
            <w:r>
              <w:rPr>
                <w:rFonts w:hint="eastAsia" w:ascii="宋体" w:hAnsi="宋体" w:eastAsia="宋体"/>
                <w:sz w:val="20"/>
                <w:szCs w:val="20"/>
              </w:rPr>
              <w:t>山羊</w:t>
            </w:r>
          </w:p>
        </w:tc>
        <w:tc>
          <w:tcPr>
            <w:tcW w:w="7200" w:type="dxa"/>
            <w:shd w:val="clear" w:color="auto" w:fill="auto"/>
            <w:noWrap/>
            <w:vAlign w:val="center"/>
          </w:tcPr>
          <w:p w14:paraId="7D3F2EBB">
            <w:pPr>
              <w:widowControl/>
              <w:jc w:val="left"/>
              <w:rPr>
                <w:rFonts w:ascii="宋体" w:hAnsi="宋体" w:eastAsia="宋体" w:cs="宋体"/>
                <w:kern w:val="0"/>
                <w:sz w:val="20"/>
                <w:szCs w:val="20"/>
              </w:rPr>
            </w:pPr>
            <w:r>
              <w:rPr>
                <w:rFonts w:ascii="宋体" w:hAnsi="宋体" w:eastAsia="宋体" w:cs="宋体"/>
                <w:kern w:val="0"/>
                <w:sz w:val="20"/>
                <w:szCs w:val="20"/>
              </w:rPr>
              <w:t>1、山羊由箱体和四脚构成，高度可调范围：1000-1300mm。</w:t>
            </w:r>
          </w:p>
          <w:p w14:paraId="5878DD23">
            <w:pPr>
              <w:widowControl/>
              <w:jc w:val="left"/>
              <w:rPr>
                <w:rFonts w:ascii="宋体" w:hAnsi="宋体" w:eastAsia="宋体" w:cs="宋体"/>
                <w:kern w:val="0"/>
                <w:sz w:val="20"/>
                <w:szCs w:val="20"/>
              </w:rPr>
            </w:pPr>
            <w:r>
              <w:rPr>
                <w:rFonts w:ascii="宋体" w:hAnsi="宋体" w:eastAsia="宋体" w:cs="宋体"/>
                <w:kern w:val="0"/>
                <w:sz w:val="20"/>
                <w:szCs w:val="20"/>
              </w:rPr>
              <w:t>2、箱体规格：长X宽X高=550x360x330（mm），箱体表面用重体压缩海绵填充，外包优质人造革。</w:t>
            </w:r>
          </w:p>
          <w:p w14:paraId="5A993BEB">
            <w:pPr>
              <w:widowControl/>
              <w:jc w:val="left"/>
              <w:rPr>
                <w:rFonts w:ascii="宋体" w:hAnsi="宋体" w:eastAsia="宋体" w:cs="宋体"/>
                <w:kern w:val="0"/>
                <w:sz w:val="20"/>
                <w:szCs w:val="20"/>
              </w:rPr>
            </w:pPr>
            <w:r>
              <w:rPr>
                <w:rFonts w:ascii="宋体" w:hAnsi="宋体" w:eastAsia="宋体" w:cs="宋体"/>
                <w:kern w:val="0"/>
                <w:sz w:val="20"/>
                <w:szCs w:val="20"/>
              </w:rPr>
              <w:t>3、四脚由外脚管、固定管、活动管和羊脚组成，外脚管与箱体连接焊接，焊接夹角为60度，固定管采用φ57x3mm优质钢管，用M8锁紧螺栓与外脚管连接,活动管采用φ48x3mm的优质钢管,羊脚为铸铁,活动管上钻有调节孔,固定管上设有调节机构,通过调节螺栓可调节山羊高度，调节间距：50mm。</w:t>
            </w:r>
          </w:p>
        </w:tc>
        <w:tc>
          <w:tcPr>
            <w:tcW w:w="683" w:type="dxa"/>
            <w:shd w:val="clear" w:color="auto" w:fill="auto"/>
            <w:noWrap/>
            <w:vAlign w:val="center"/>
          </w:tcPr>
          <w:p w14:paraId="3D854AA2">
            <w:pPr>
              <w:jc w:val="center"/>
              <w:rPr>
                <w:rFonts w:ascii="宋体" w:hAnsi="宋体" w:eastAsia="宋体"/>
                <w:color w:val="000000"/>
                <w:sz w:val="20"/>
                <w:szCs w:val="20"/>
              </w:rPr>
            </w:pPr>
            <w:r>
              <w:rPr>
                <w:rFonts w:hint="eastAsia" w:ascii="宋体" w:hAnsi="宋体" w:eastAsia="宋体"/>
                <w:color w:val="000000"/>
                <w:sz w:val="20"/>
                <w:szCs w:val="20"/>
              </w:rPr>
              <w:t>只</w:t>
            </w:r>
          </w:p>
        </w:tc>
        <w:tc>
          <w:tcPr>
            <w:tcW w:w="681" w:type="dxa"/>
            <w:shd w:val="clear" w:color="auto" w:fill="auto"/>
            <w:noWrap/>
            <w:vAlign w:val="center"/>
          </w:tcPr>
          <w:p w14:paraId="2BCF7B3A">
            <w:pPr>
              <w:jc w:val="center"/>
              <w:rPr>
                <w:rFonts w:ascii="宋体" w:hAnsi="宋体" w:eastAsia="宋体"/>
                <w:color w:val="000000"/>
                <w:sz w:val="20"/>
                <w:szCs w:val="20"/>
              </w:rPr>
            </w:pPr>
            <w:r>
              <w:rPr>
                <w:rFonts w:hint="eastAsia" w:ascii="宋体" w:hAnsi="宋体" w:eastAsia="宋体"/>
                <w:color w:val="000000"/>
                <w:sz w:val="20"/>
                <w:szCs w:val="20"/>
              </w:rPr>
              <w:t>2</w:t>
            </w:r>
          </w:p>
        </w:tc>
      </w:tr>
      <w:tr w14:paraId="4F261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3" w:hRule="atLeast"/>
          <w:jc w:val="center"/>
        </w:trPr>
        <w:tc>
          <w:tcPr>
            <w:tcW w:w="664" w:type="dxa"/>
            <w:vAlign w:val="center"/>
          </w:tcPr>
          <w:p w14:paraId="4B2D9413">
            <w:pPr>
              <w:jc w:val="center"/>
              <w:rPr>
                <w:rFonts w:ascii="宋体" w:hAnsi="宋体" w:eastAsia="宋体"/>
                <w:sz w:val="20"/>
                <w:szCs w:val="20"/>
              </w:rPr>
            </w:pPr>
            <w:r>
              <w:rPr>
                <w:rFonts w:hint="eastAsia" w:ascii="宋体" w:hAnsi="宋体" w:eastAsia="宋体"/>
                <w:sz w:val="20"/>
                <w:szCs w:val="20"/>
              </w:rPr>
              <w:t>7</w:t>
            </w:r>
          </w:p>
        </w:tc>
        <w:tc>
          <w:tcPr>
            <w:tcW w:w="1550" w:type="dxa"/>
            <w:shd w:val="clear" w:color="auto" w:fill="auto"/>
            <w:noWrap/>
            <w:vAlign w:val="center"/>
          </w:tcPr>
          <w:p w14:paraId="0B0E48E8">
            <w:pPr>
              <w:jc w:val="center"/>
              <w:rPr>
                <w:rFonts w:ascii="宋体" w:hAnsi="宋体" w:eastAsia="宋体"/>
                <w:sz w:val="20"/>
                <w:szCs w:val="20"/>
              </w:rPr>
            </w:pPr>
            <w:r>
              <w:rPr>
                <w:rFonts w:hint="eastAsia" w:ascii="宋体" w:hAnsi="宋体" w:eastAsia="宋体"/>
                <w:sz w:val="20"/>
                <w:szCs w:val="20"/>
              </w:rPr>
              <w:t>双格肋木</w:t>
            </w:r>
          </w:p>
        </w:tc>
        <w:tc>
          <w:tcPr>
            <w:tcW w:w="7200" w:type="dxa"/>
            <w:shd w:val="clear" w:color="auto" w:fill="auto"/>
            <w:noWrap/>
            <w:vAlign w:val="center"/>
          </w:tcPr>
          <w:p w14:paraId="30546E52">
            <w:pPr>
              <w:widowControl/>
              <w:jc w:val="left"/>
              <w:rPr>
                <w:rFonts w:ascii="宋体" w:hAnsi="宋体" w:eastAsia="宋体" w:cs="宋体"/>
                <w:kern w:val="0"/>
                <w:sz w:val="20"/>
                <w:szCs w:val="20"/>
              </w:rPr>
            </w:pPr>
            <w:r>
              <w:rPr>
                <w:rFonts w:ascii="宋体" w:hAnsi="宋体" w:eastAsia="宋体" w:cs="宋体"/>
                <w:kern w:val="0"/>
                <w:sz w:val="20"/>
                <w:szCs w:val="20"/>
              </w:rPr>
              <w:t>1.肋木基本尺寸：长x高=2170x2750（mm）；</w:t>
            </w:r>
          </w:p>
          <w:p w14:paraId="34439EF8">
            <w:pPr>
              <w:widowControl/>
              <w:jc w:val="left"/>
              <w:rPr>
                <w:rFonts w:ascii="宋体" w:hAnsi="宋体" w:eastAsia="宋体" w:cs="宋体"/>
                <w:kern w:val="0"/>
                <w:sz w:val="20"/>
                <w:szCs w:val="20"/>
              </w:rPr>
            </w:pPr>
            <w:r>
              <w:rPr>
                <w:rFonts w:ascii="宋体" w:hAnsi="宋体" w:eastAsia="宋体" w:cs="宋体"/>
                <w:kern w:val="0"/>
                <w:sz w:val="20"/>
                <w:szCs w:val="20"/>
              </w:rPr>
              <w:t>2.肋木由3根立柱，1根横梁和12根横杆组成，立柱和横梁采用 优质水曲柳，通过特制M10mm螺栓连接，横杆采用Φ38mm水曲柳杠面，三根立柱两根侧立柱打单边孔，一根中立柱打双边通孔，</w:t>
            </w:r>
            <w:r>
              <w:rPr>
                <w:rFonts w:hint="eastAsia" w:ascii="宋体" w:hAnsi="宋体" w:eastAsia="宋体" w:cs="宋体"/>
                <w:kern w:val="0"/>
                <w:sz w:val="20"/>
                <w:szCs w:val="20"/>
              </w:rPr>
              <w:t>立柱采用</w:t>
            </w:r>
            <w:r>
              <w:rPr>
                <w:rFonts w:ascii="宋体" w:hAnsi="宋体" w:eastAsia="宋体" w:cs="宋体"/>
                <w:kern w:val="0"/>
                <w:sz w:val="20"/>
                <w:szCs w:val="20"/>
              </w:rPr>
              <w:t>95X42mm优质水曲柳，通过专用连接板膨胀螺栓与墙体连接</w:t>
            </w:r>
          </w:p>
        </w:tc>
        <w:tc>
          <w:tcPr>
            <w:tcW w:w="683" w:type="dxa"/>
            <w:shd w:val="clear" w:color="auto" w:fill="auto"/>
            <w:noWrap/>
            <w:vAlign w:val="center"/>
          </w:tcPr>
          <w:p w14:paraId="7CCFF7C6">
            <w:pPr>
              <w:jc w:val="center"/>
              <w:rPr>
                <w:rFonts w:ascii="宋体" w:hAnsi="宋体" w:eastAsia="宋体"/>
                <w:color w:val="000000"/>
                <w:sz w:val="20"/>
                <w:szCs w:val="20"/>
              </w:rPr>
            </w:pPr>
            <w:r>
              <w:rPr>
                <w:rFonts w:hint="eastAsia" w:ascii="宋体" w:hAnsi="宋体" w:eastAsia="宋体"/>
                <w:color w:val="000000"/>
                <w:sz w:val="20"/>
                <w:szCs w:val="20"/>
              </w:rPr>
              <w:t>付</w:t>
            </w:r>
          </w:p>
        </w:tc>
        <w:tc>
          <w:tcPr>
            <w:tcW w:w="681" w:type="dxa"/>
            <w:shd w:val="clear" w:color="auto" w:fill="auto"/>
            <w:noWrap/>
            <w:vAlign w:val="center"/>
          </w:tcPr>
          <w:p w14:paraId="0F353498">
            <w:pPr>
              <w:jc w:val="center"/>
              <w:rPr>
                <w:rFonts w:ascii="宋体" w:hAnsi="宋体" w:eastAsia="宋体"/>
                <w:color w:val="000000"/>
                <w:sz w:val="20"/>
                <w:szCs w:val="20"/>
              </w:rPr>
            </w:pPr>
            <w:r>
              <w:rPr>
                <w:rFonts w:hint="eastAsia" w:ascii="宋体" w:hAnsi="宋体" w:eastAsia="宋体"/>
                <w:color w:val="000000"/>
                <w:sz w:val="20"/>
                <w:szCs w:val="20"/>
              </w:rPr>
              <w:t>2</w:t>
            </w:r>
          </w:p>
        </w:tc>
      </w:tr>
      <w:tr w14:paraId="2BE87F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jc w:val="center"/>
        </w:trPr>
        <w:tc>
          <w:tcPr>
            <w:tcW w:w="664" w:type="dxa"/>
            <w:vAlign w:val="center"/>
          </w:tcPr>
          <w:p w14:paraId="637F3011">
            <w:pPr>
              <w:jc w:val="center"/>
              <w:rPr>
                <w:rFonts w:ascii="宋体" w:hAnsi="宋体" w:eastAsia="宋体"/>
                <w:sz w:val="20"/>
                <w:szCs w:val="20"/>
              </w:rPr>
            </w:pPr>
            <w:r>
              <w:rPr>
                <w:rFonts w:hint="eastAsia" w:ascii="宋体" w:hAnsi="宋体" w:eastAsia="宋体"/>
                <w:sz w:val="20"/>
                <w:szCs w:val="20"/>
              </w:rPr>
              <w:t>8</w:t>
            </w:r>
          </w:p>
        </w:tc>
        <w:tc>
          <w:tcPr>
            <w:tcW w:w="1550" w:type="dxa"/>
            <w:shd w:val="clear" w:color="auto" w:fill="auto"/>
            <w:noWrap/>
            <w:vAlign w:val="center"/>
          </w:tcPr>
          <w:p w14:paraId="74696CCF">
            <w:pPr>
              <w:jc w:val="center"/>
              <w:rPr>
                <w:rFonts w:ascii="宋体" w:hAnsi="宋体" w:eastAsia="宋体"/>
                <w:sz w:val="20"/>
                <w:szCs w:val="20"/>
              </w:rPr>
            </w:pPr>
            <w:r>
              <w:rPr>
                <w:rFonts w:hint="eastAsia" w:ascii="宋体" w:hAnsi="宋体" w:eastAsia="宋体"/>
                <w:sz w:val="20"/>
                <w:szCs w:val="20"/>
              </w:rPr>
              <w:t>双杠倒立架</w:t>
            </w:r>
          </w:p>
        </w:tc>
        <w:tc>
          <w:tcPr>
            <w:tcW w:w="7200" w:type="dxa"/>
            <w:shd w:val="clear" w:color="auto" w:fill="auto"/>
            <w:noWrap/>
            <w:vAlign w:val="center"/>
          </w:tcPr>
          <w:p w14:paraId="21B1343A">
            <w:pPr>
              <w:widowControl/>
              <w:jc w:val="left"/>
              <w:rPr>
                <w:rFonts w:ascii="宋体" w:hAnsi="宋体" w:eastAsia="宋体" w:cs="宋体"/>
                <w:kern w:val="0"/>
                <w:sz w:val="20"/>
                <w:szCs w:val="20"/>
              </w:rPr>
            </w:pPr>
            <w:r>
              <w:rPr>
                <w:rFonts w:ascii="宋体" w:hAnsi="宋体" w:eastAsia="宋体" w:cs="宋体"/>
                <w:kern w:val="0"/>
                <w:sz w:val="20"/>
                <w:szCs w:val="20"/>
              </w:rPr>
              <w:t>A级别榉木，表面光滑，色泽柔润；超强承重600斤，结实耐用；底部螺丝固定，底部增加防护垫；接口处机械冲压工艺无缝衔接。整体长30cm，宽14cm，高11cm，4cm手把直径。</w:t>
            </w:r>
          </w:p>
        </w:tc>
        <w:tc>
          <w:tcPr>
            <w:tcW w:w="683" w:type="dxa"/>
            <w:shd w:val="clear" w:color="auto" w:fill="auto"/>
            <w:noWrap/>
            <w:vAlign w:val="center"/>
          </w:tcPr>
          <w:p w14:paraId="3913C6BA">
            <w:pPr>
              <w:jc w:val="center"/>
              <w:rPr>
                <w:rFonts w:ascii="宋体" w:hAnsi="宋体" w:eastAsia="宋体"/>
                <w:color w:val="000000"/>
                <w:sz w:val="20"/>
                <w:szCs w:val="20"/>
              </w:rPr>
            </w:pPr>
            <w:r>
              <w:rPr>
                <w:rFonts w:hint="eastAsia" w:ascii="宋体" w:hAnsi="宋体" w:eastAsia="宋体"/>
                <w:color w:val="000000"/>
                <w:sz w:val="20"/>
                <w:szCs w:val="20"/>
              </w:rPr>
              <w:t>付</w:t>
            </w:r>
          </w:p>
        </w:tc>
        <w:tc>
          <w:tcPr>
            <w:tcW w:w="681" w:type="dxa"/>
            <w:shd w:val="clear" w:color="auto" w:fill="auto"/>
            <w:noWrap/>
            <w:vAlign w:val="center"/>
          </w:tcPr>
          <w:p w14:paraId="43D64579">
            <w:pPr>
              <w:jc w:val="center"/>
              <w:rPr>
                <w:rFonts w:ascii="宋体" w:hAnsi="宋体" w:eastAsia="宋体"/>
                <w:color w:val="000000"/>
                <w:sz w:val="20"/>
                <w:szCs w:val="20"/>
              </w:rPr>
            </w:pPr>
            <w:r>
              <w:rPr>
                <w:rFonts w:hint="eastAsia" w:ascii="宋体" w:hAnsi="宋体" w:eastAsia="宋体"/>
                <w:color w:val="000000"/>
                <w:sz w:val="20"/>
                <w:szCs w:val="20"/>
              </w:rPr>
              <w:t>2</w:t>
            </w:r>
          </w:p>
        </w:tc>
      </w:tr>
      <w:tr w14:paraId="2851B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4" w:hRule="atLeast"/>
          <w:jc w:val="center"/>
        </w:trPr>
        <w:tc>
          <w:tcPr>
            <w:tcW w:w="664" w:type="dxa"/>
            <w:vAlign w:val="center"/>
          </w:tcPr>
          <w:p w14:paraId="36344589">
            <w:pPr>
              <w:jc w:val="center"/>
              <w:rPr>
                <w:rFonts w:ascii="宋体" w:hAnsi="宋体" w:eastAsia="宋体"/>
                <w:sz w:val="20"/>
                <w:szCs w:val="20"/>
              </w:rPr>
            </w:pPr>
            <w:r>
              <w:rPr>
                <w:rFonts w:hint="eastAsia" w:ascii="宋体" w:hAnsi="宋体" w:eastAsia="宋体"/>
                <w:sz w:val="20"/>
                <w:szCs w:val="20"/>
              </w:rPr>
              <w:t>9</w:t>
            </w:r>
          </w:p>
        </w:tc>
        <w:tc>
          <w:tcPr>
            <w:tcW w:w="1550" w:type="dxa"/>
            <w:shd w:val="clear" w:color="auto" w:fill="auto"/>
            <w:noWrap/>
            <w:vAlign w:val="center"/>
          </w:tcPr>
          <w:p w14:paraId="2C6D9F41">
            <w:pPr>
              <w:jc w:val="center"/>
              <w:rPr>
                <w:rFonts w:ascii="宋体" w:hAnsi="宋体" w:eastAsia="宋体"/>
                <w:sz w:val="20"/>
                <w:szCs w:val="20"/>
              </w:rPr>
            </w:pPr>
            <w:r>
              <w:rPr>
                <w:rFonts w:hint="eastAsia" w:ascii="宋体" w:hAnsi="宋体" w:eastAsia="宋体"/>
                <w:sz w:val="20"/>
                <w:szCs w:val="20"/>
              </w:rPr>
              <w:t>单杠倒立架</w:t>
            </w:r>
          </w:p>
        </w:tc>
        <w:tc>
          <w:tcPr>
            <w:tcW w:w="7200" w:type="dxa"/>
            <w:shd w:val="clear" w:color="auto" w:fill="auto"/>
            <w:noWrap/>
            <w:vAlign w:val="center"/>
          </w:tcPr>
          <w:p w14:paraId="3F007FC4">
            <w:pPr>
              <w:widowControl/>
              <w:jc w:val="left"/>
              <w:rPr>
                <w:rFonts w:ascii="宋体" w:hAnsi="宋体" w:eastAsia="宋体" w:cs="宋体"/>
                <w:kern w:val="0"/>
                <w:sz w:val="20"/>
                <w:szCs w:val="20"/>
              </w:rPr>
            </w:pPr>
            <w:r>
              <w:rPr>
                <w:rFonts w:ascii="宋体" w:hAnsi="宋体" w:eastAsia="宋体" w:cs="宋体"/>
                <w:kern w:val="0"/>
                <w:sz w:val="20"/>
                <w:szCs w:val="20"/>
              </w:rPr>
              <w:t>A级别榉木，表面光滑，色泽柔润；超强承重600斤，结实耐用；底部螺丝固定，底部增加防护垫；接口处机械冲压工艺无缝衔接。整体长90cm，宽14cm，高11cm，4cm手把直径。</w:t>
            </w:r>
          </w:p>
        </w:tc>
        <w:tc>
          <w:tcPr>
            <w:tcW w:w="683" w:type="dxa"/>
            <w:shd w:val="clear" w:color="auto" w:fill="auto"/>
            <w:noWrap/>
            <w:vAlign w:val="center"/>
          </w:tcPr>
          <w:p w14:paraId="02A7DAC6">
            <w:pPr>
              <w:jc w:val="center"/>
              <w:rPr>
                <w:rFonts w:ascii="宋体" w:hAnsi="宋体" w:eastAsia="宋体"/>
                <w:color w:val="000000"/>
                <w:sz w:val="20"/>
                <w:szCs w:val="20"/>
              </w:rPr>
            </w:pPr>
            <w:r>
              <w:rPr>
                <w:rFonts w:hint="eastAsia" w:ascii="宋体" w:hAnsi="宋体" w:eastAsia="宋体"/>
                <w:color w:val="000000"/>
                <w:sz w:val="20"/>
                <w:szCs w:val="20"/>
              </w:rPr>
              <w:t>付</w:t>
            </w:r>
          </w:p>
        </w:tc>
        <w:tc>
          <w:tcPr>
            <w:tcW w:w="681" w:type="dxa"/>
            <w:shd w:val="clear" w:color="auto" w:fill="auto"/>
            <w:noWrap/>
            <w:vAlign w:val="center"/>
          </w:tcPr>
          <w:p w14:paraId="6DEB94B3">
            <w:pPr>
              <w:jc w:val="center"/>
              <w:rPr>
                <w:rFonts w:ascii="宋体" w:hAnsi="宋体" w:eastAsia="宋体"/>
                <w:color w:val="000000"/>
                <w:sz w:val="20"/>
                <w:szCs w:val="20"/>
              </w:rPr>
            </w:pPr>
            <w:r>
              <w:rPr>
                <w:rFonts w:hint="eastAsia" w:ascii="宋体" w:hAnsi="宋体" w:eastAsia="宋体"/>
                <w:color w:val="000000"/>
                <w:sz w:val="20"/>
                <w:szCs w:val="20"/>
              </w:rPr>
              <w:t>2</w:t>
            </w:r>
          </w:p>
        </w:tc>
      </w:tr>
      <w:tr w14:paraId="23B16F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664" w:type="dxa"/>
            <w:vAlign w:val="center"/>
          </w:tcPr>
          <w:p w14:paraId="63F8507E">
            <w:pPr>
              <w:jc w:val="center"/>
              <w:rPr>
                <w:rFonts w:ascii="宋体" w:hAnsi="宋体" w:eastAsia="宋体"/>
                <w:sz w:val="20"/>
                <w:szCs w:val="20"/>
              </w:rPr>
            </w:pPr>
            <w:r>
              <w:rPr>
                <w:rFonts w:hint="eastAsia" w:ascii="宋体" w:hAnsi="宋体" w:eastAsia="宋体"/>
                <w:sz w:val="20"/>
                <w:szCs w:val="20"/>
              </w:rPr>
              <w:t>1</w:t>
            </w:r>
            <w:r>
              <w:rPr>
                <w:rFonts w:ascii="宋体" w:hAnsi="宋体" w:eastAsia="宋体"/>
                <w:sz w:val="20"/>
                <w:szCs w:val="20"/>
              </w:rPr>
              <w:t>0</w:t>
            </w:r>
          </w:p>
        </w:tc>
        <w:tc>
          <w:tcPr>
            <w:tcW w:w="1550" w:type="dxa"/>
            <w:shd w:val="clear" w:color="auto" w:fill="auto"/>
            <w:noWrap/>
            <w:vAlign w:val="center"/>
          </w:tcPr>
          <w:p w14:paraId="2DD458BB">
            <w:pPr>
              <w:jc w:val="center"/>
              <w:rPr>
                <w:rFonts w:ascii="宋体" w:hAnsi="宋体" w:eastAsia="宋体"/>
                <w:sz w:val="20"/>
                <w:szCs w:val="20"/>
              </w:rPr>
            </w:pPr>
            <w:r>
              <w:rPr>
                <w:rFonts w:hint="eastAsia" w:ascii="宋体" w:hAnsi="宋体" w:eastAsia="宋体"/>
                <w:sz w:val="20"/>
                <w:szCs w:val="20"/>
              </w:rPr>
              <w:t>镁粉盒</w:t>
            </w:r>
          </w:p>
        </w:tc>
        <w:tc>
          <w:tcPr>
            <w:tcW w:w="7200" w:type="dxa"/>
            <w:shd w:val="clear" w:color="auto" w:fill="auto"/>
            <w:noWrap/>
            <w:vAlign w:val="center"/>
          </w:tcPr>
          <w:p w14:paraId="3F801457">
            <w:pPr>
              <w:widowControl/>
              <w:jc w:val="left"/>
              <w:rPr>
                <w:rFonts w:ascii="宋体" w:hAnsi="宋体" w:eastAsia="宋体" w:cs="宋体"/>
                <w:kern w:val="0"/>
                <w:sz w:val="20"/>
                <w:szCs w:val="20"/>
              </w:rPr>
            </w:pPr>
            <w:r>
              <w:rPr>
                <w:rFonts w:hint="eastAsia" w:ascii="宋体" w:hAnsi="宋体" w:eastAsia="宋体" w:cs="宋体"/>
                <w:kern w:val="0"/>
                <w:sz w:val="20"/>
                <w:szCs w:val="20"/>
              </w:rPr>
              <w:t>不锈钢</w:t>
            </w:r>
            <w:r>
              <w:rPr>
                <w:rFonts w:hint="eastAsia" w:ascii="宋体" w:hAnsi="宋体" w:eastAsia="宋体"/>
                <w:sz w:val="20"/>
                <w:szCs w:val="20"/>
              </w:rPr>
              <w:t>镁粉盒，1</w:t>
            </w:r>
            <w:r>
              <w:rPr>
                <w:rFonts w:ascii="宋体" w:hAnsi="宋体" w:eastAsia="宋体"/>
                <w:sz w:val="20"/>
                <w:szCs w:val="20"/>
              </w:rPr>
              <w:t>00-120cm</w:t>
            </w:r>
            <w:r>
              <w:rPr>
                <w:rFonts w:hint="eastAsia" w:ascii="宋体" w:hAnsi="宋体" w:eastAsia="宋体"/>
                <w:sz w:val="20"/>
                <w:szCs w:val="20"/>
              </w:rPr>
              <w:t>高度可调，配重底座。</w:t>
            </w:r>
          </w:p>
        </w:tc>
        <w:tc>
          <w:tcPr>
            <w:tcW w:w="683" w:type="dxa"/>
            <w:shd w:val="clear" w:color="auto" w:fill="auto"/>
            <w:noWrap/>
            <w:vAlign w:val="center"/>
          </w:tcPr>
          <w:p w14:paraId="17919818">
            <w:pPr>
              <w:jc w:val="center"/>
              <w:rPr>
                <w:rFonts w:ascii="宋体" w:hAnsi="宋体" w:eastAsia="宋体"/>
                <w:color w:val="000000"/>
                <w:sz w:val="20"/>
                <w:szCs w:val="20"/>
              </w:rPr>
            </w:pPr>
            <w:r>
              <w:rPr>
                <w:rFonts w:hint="eastAsia" w:ascii="宋体" w:hAnsi="宋体" w:eastAsia="宋体"/>
                <w:color w:val="000000"/>
                <w:sz w:val="20"/>
                <w:szCs w:val="20"/>
              </w:rPr>
              <w:t>个</w:t>
            </w:r>
          </w:p>
        </w:tc>
        <w:tc>
          <w:tcPr>
            <w:tcW w:w="681" w:type="dxa"/>
            <w:shd w:val="clear" w:color="auto" w:fill="auto"/>
            <w:noWrap/>
            <w:vAlign w:val="center"/>
          </w:tcPr>
          <w:p w14:paraId="609706D0">
            <w:pPr>
              <w:jc w:val="center"/>
              <w:rPr>
                <w:rFonts w:ascii="宋体" w:hAnsi="宋体" w:eastAsia="宋体"/>
                <w:color w:val="000000"/>
                <w:sz w:val="20"/>
                <w:szCs w:val="20"/>
              </w:rPr>
            </w:pPr>
            <w:r>
              <w:rPr>
                <w:rFonts w:hint="eastAsia" w:ascii="宋体" w:hAnsi="宋体" w:eastAsia="宋体"/>
                <w:color w:val="000000"/>
                <w:sz w:val="20"/>
                <w:szCs w:val="20"/>
              </w:rPr>
              <w:t>2</w:t>
            </w:r>
          </w:p>
        </w:tc>
      </w:tr>
      <w:tr w14:paraId="3C454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664" w:type="dxa"/>
            <w:vAlign w:val="center"/>
          </w:tcPr>
          <w:p w14:paraId="48A7107C">
            <w:pPr>
              <w:jc w:val="center"/>
              <w:rPr>
                <w:rFonts w:ascii="宋体" w:hAnsi="宋体" w:eastAsia="宋体"/>
                <w:sz w:val="20"/>
                <w:szCs w:val="20"/>
              </w:rPr>
            </w:pPr>
            <w:r>
              <w:rPr>
                <w:rFonts w:hint="eastAsia" w:ascii="宋体" w:hAnsi="宋体" w:eastAsia="宋体"/>
                <w:sz w:val="20"/>
                <w:szCs w:val="20"/>
              </w:rPr>
              <w:t>1</w:t>
            </w:r>
            <w:r>
              <w:rPr>
                <w:rFonts w:ascii="宋体" w:hAnsi="宋体" w:eastAsia="宋体"/>
                <w:sz w:val="20"/>
                <w:szCs w:val="20"/>
              </w:rPr>
              <w:t>1</w:t>
            </w:r>
          </w:p>
        </w:tc>
        <w:tc>
          <w:tcPr>
            <w:tcW w:w="1550" w:type="dxa"/>
            <w:shd w:val="clear" w:color="auto" w:fill="auto"/>
            <w:noWrap/>
            <w:vAlign w:val="center"/>
          </w:tcPr>
          <w:p w14:paraId="2EC4A7FF">
            <w:pPr>
              <w:jc w:val="center"/>
              <w:rPr>
                <w:rFonts w:ascii="宋体" w:hAnsi="宋体" w:eastAsia="宋体"/>
                <w:sz w:val="20"/>
                <w:szCs w:val="20"/>
              </w:rPr>
            </w:pPr>
            <w:r>
              <w:rPr>
                <w:rFonts w:hint="eastAsia" w:ascii="宋体" w:hAnsi="宋体" w:eastAsia="宋体"/>
                <w:sz w:val="20"/>
                <w:szCs w:val="20"/>
              </w:rPr>
              <w:t>防滑镁粉块</w:t>
            </w:r>
          </w:p>
        </w:tc>
        <w:tc>
          <w:tcPr>
            <w:tcW w:w="7200" w:type="dxa"/>
            <w:shd w:val="clear" w:color="auto" w:fill="auto"/>
            <w:noWrap/>
            <w:vAlign w:val="center"/>
          </w:tcPr>
          <w:p w14:paraId="14740E96">
            <w:pPr>
              <w:widowControl/>
              <w:jc w:val="left"/>
              <w:rPr>
                <w:rFonts w:ascii="宋体" w:hAnsi="宋体" w:eastAsia="宋体" w:cs="宋体"/>
                <w:kern w:val="0"/>
                <w:sz w:val="20"/>
                <w:szCs w:val="20"/>
              </w:rPr>
            </w:pPr>
            <w:r>
              <w:rPr>
                <w:rFonts w:hint="eastAsia" w:ascii="宋体" w:hAnsi="宋体" w:eastAsia="宋体" w:cs="宋体"/>
                <w:kern w:val="0"/>
                <w:sz w:val="20"/>
                <w:szCs w:val="20"/>
              </w:rPr>
              <w:t>防滑止汗，增加握力，</w:t>
            </w:r>
            <w:r>
              <w:rPr>
                <w:rFonts w:ascii="宋体" w:hAnsi="宋体" w:eastAsia="宋体" w:cs="宋体"/>
                <w:kern w:val="0"/>
                <w:sz w:val="20"/>
                <w:szCs w:val="20"/>
              </w:rPr>
              <w:t>56克/块，一箱36盒，每盒8块</w:t>
            </w:r>
          </w:p>
        </w:tc>
        <w:tc>
          <w:tcPr>
            <w:tcW w:w="683" w:type="dxa"/>
            <w:shd w:val="clear" w:color="auto" w:fill="auto"/>
            <w:noWrap/>
            <w:vAlign w:val="center"/>
          </w:tcPr>
          <w:p w14:paraId="40D900BF">
            <w:pPr>
              <w:jc w:val="center"/>
              <w:rPr>
                <w:rFonts w:ascii="宋体" w:hAnsi="宋体" w:eastAsia="宋体"/>
                <w:color w:val="000000"/>
                <w:sz w:val="20"/>
                <w:szCs w:val="20"/>
              </w:rPr>
            </w:pPr>
            <w:r>
              <w:rPr>
                <w:rFonts w:hint="eastAsia" w:ascii="宋体" w:hAnsi="宋体" w:eastAsia="宋体"/>
                <w:color w:val="000000"/>
                <w:sz w:val="20"/>
                <w:szCs w:val="20"/>
              </w:rPr>
              <w:t>箱</w:t>
            </w:r>
          </w:p>
        </w:tc>
        <w:tc>
          <w:tcPr>
            <w:tcW w:w="681" w:type="dxa"/>
            <w:shd w:val="clear" w:color="auto" w:fill="auto"/>
            <w:noWrap/>
            <w:vAlign w:val="center"/>
          </w:tcPr>
          <w:p w14:paraId="3E49B0DC">
            <w:pPr>
              <w:jc w:val="center"/>
              <w:rPr>
                <w:rFonts w:ascii="宋体" w:hAnsi="宋体" w:eastAsia="宋体"/>
                <w:color w:val="000000"/>
                <w:sz w:val="20"/>
                <w:szCs w:val="20"/>
              </w:rPr>
            </w:pPr>
            <w:r>
              <w:rPr>
                <w:rFonts w:hint="eastAsia" w:ascii="宋体" w:hAnsi="宋体" w:eastAsia="宋体"/>
                <w:color w:val="000000"/>
                <w:sz w:val="20"/>
                <w:szCs w:val="20"/>
              </w:rPr>
              <w:t>2</w:t>
            </w:r>
          </w:p>
        </w:tc>
      </w:tr>
      <w:tr w14:paraId="58E962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7" w:hRule="atLeast"/>
          <w:jc w:val="center"/>
        </w:trPr>
        <w:tc>
          <w:tcPr>
            <w:tcW w:w="664" w:type="dxa"/>
            <w:vAlign w:val="center"/>
          </w:tcPr>
          <w:p w14:paraId="78F81F58">
            <w:pPr>
              <w:jc w:val="center"/>
              <w:rPr>
                <w:rFonts w:ascii="宋体" w:hAnsi="宋体" w:eastAsia="宋体"/>
                <w:sz w:val="20"/>
                <w:szCs w:val="20"/>
              </w:rPr>
            </w:pPr>
            <w:r>
              <w:rPr>
                <w:rFonts w:hint="eastAsia" w:ascii="宋体" w:hAnsi="宋体" w:eastAsia="宋体"/>
                <w:sz w:val="20"/>
                <w:szCs w:val="20"/>
              </w:rPr>
              <w:t>1</w:t>
            </w:r>
            <w:r>
              <w:rPr>
                <w:rFonts w:ascii="宋体" w:hAnsi="宋体" w:eastAsia="宋体"/>
                <w:sz w:val="20"/>
                <w:szCs w:val="20"/>
              </w:rPr>
              <w:t>2</w:t>
            </w:r>
          </w:p>
        </w:tc>
        <w:tc>
          <w:tcPr>
            <w:tcW w:w="1550" w:type="dxa"/>
            <w:shd w:val="clear" w:color="auto" w:fill="auto"/>
            <w:noWrap/>
            <w:vAlign w:val="center"/>
          </w:tcPr>
          <w:p w14:paraId="6EBD32B1">
            <w:pPr>
              <w:jc w:val="center"/>
              <w:rPr>
                <w:rFonts w:ascii="宋体" w:hAnsi="宋体" w:eastAsia="宋体"/>
                <w:sz w:val="20"/>
                <w:szCs w:val="20"/>
              </w:rPr>
            </w:pPr>
            <w:r>
              <w:rPr>
                <w:rFonts w:hint="eastAsia" w:ascii="宋体" w:hAnsi="宋体" w:eastAsia="宋体"/>
                <w:sz w:val="20"/>
                <w:szCs w:val="20"/>
              </w:rPr>
              <w:t>万向预埋件</w:t>
            </w:r>
          </w:p>
        </w:tc>
        <w:tc>
          <w:tcPr>
            <w:tcW w:w="7200" w:type="dxa"/>
            <w:shd w:val="clear" w:color="auto" w:fill="auto"/>
            <w:noWrap/>
            <w:vAlign w:val="center"/>
          </w:tcPr>
          <w:p w14:paraId="01380FA2">
            <w:pPr>
              <w:widowControl/>
              <w:jc w:val="left"/>
              <w:rPr>
                <w:rFonts w:ascii="宋体" w:hAnsi="宋体" w:eastAsia="宋体" w:cs="宋体"/>
                <w:kern w:val="0"/>
                <w:sz w:val="20"/>
                <w:szCs w:val="20"/>
              </w:rPr>
            </w:pPr>
            <w:r>
              <w:rPr>
                <w:rFonts w:ascii="宋体" w:hAnsi="宋体" w:eastAsia="宋体" w:cs="宋体"/>
                <w:kern w:val="0"/>
                <w:sz w:val="20"/>
                <w:szCs w:val="20"/>
              </w:rPr>
              <w:t>1、外形尺寸：长×宽×高=120×120×265mm。（或定制）</w:t>
            </w:r>
          </w:p>
          <w:p w14:paraId="1F95DA97">
            <w:pPr>
              <w:widowControl/>
              <w:jc w:val="left"/>
              <w:rPr>
                <w:rFonts w:ascii="宋体" w:hAnsi="宋体" w:eastAsia="宋体" w:cs="宋体"/>
                <w:kern w:val="0"/>
                <w:sz w:val="20"/>
                <w:szCs w:val="20"/>
              </w:rPr>
            </w:pPr>
            <w:r>
              <w:rPr>
                <w:rFonts w:ascii="宋体" w:hAnsi="宋体" w:eastAsia="宋体" w:cs="宋体"/>
                <w:kern w:val="0"/>
                <w:sz w:val="20"/>
                <w:szCs w:val="20"/>
              </w:rPr>
              <w:t>2、万向预埋件主要由预埋板件、预埋固定套和预埋索扣组成。</w:t>
            </w:r>
          </w:p>
          <w:p w14:paraId="6094D6C9">
            <w:pPr>
              <w:widowControl/>
              <w:jc w:val="left"/>
              <w:rPr>
                <w:rFonts w:ascii="宋体" w:hAnsi="宋体" w:eastAsia="宋体" w:cs="宋体"/>
                <w:kern w:val="0"/>
                <w:sz w:val="20"/>
                <w:szCs w:val="20"/>
              </w:rPr>
            </w:pPr>
            <w:r>
              <w:rPr>
                <w:rFonts w:ascii="宋体" w:hAnsi="宋体" w:eastAsia="宋体" w:cs="宋体"/>
                <w:kern w:val="0"/>
                <w:sz w:val="20"/>
                <w:szCs w:val="20"/>
              </w:rPr>
              <w:t>3、预埋件板件主要采用δ10铁板和Φ6圆钢焊接组成，表面经酸洗、磷化后涂防锈漆。</w:t>
            </w:r>
          </w:p>
          <w:p w14:paraId="5A34127A">
            <w:pPr>
              <w:widowControl/>
              <w:jc w:val="left"/>
              <w:rPr>
                <w:rFonts w:ascii="宋体" w:hAnsi="宋体" w:eastAsia="宋体" w:cs="宋体"/>
                <w:kern w:val="0"/>
                <w:sz w:val="20"/>
                <w:szCs w:val="20"/>
              </w:rPr>
            </w:pPr>
            <w:r>
              <w:rPr>
                <w:rFonts w:ascii="宋体" w:hAnsi="宋体" w:eastAsia="宋体" w:cs="宋体"/>
                <w:kern w:val="0"/>
                <w:sz w:val="20"/>
                <w:szCs w:val="20"/>
              </w:rPr>
              <w:t>4、预埋件固定套采用优质圆钢经车加工制作，表面经酸洗、磷化后镀锌处理。</w:t>
            </w:r>
          </w:p>
          <w:p w14:paraId="0B61E22B">
            <w:pPr>
              <w:widowControl/>
              <w:jc w:val="left"/>
              <w:rPr>
                <w:rFonts w:ascii="宋体" w:hAnsi="宋体" w:eastAsia="宋体" w:cs="宋体"/>
                <w:kern w:val="0"/>
                <w:sz w:val="20"/>
                <w:szCs w:val="20"/>
              </w:rPr>
            </w:pPr>
            <w:r>
              <w:rPr>
                <w:rFonts w:ascii="宋体" w:hAnsi="宋体" w:eastAsia="宋体" w:cs="宋体"/>
                <w:kern w:val="0"/>
                <w:sz w:val="20"/>
                <w:szCs w:val="20"/>
              </w:rPr>
              <w:t>5、预埋索扣为活络件，可万向转动，高度可通过螺纹调节，不使用时，将索扣调节至固定套内，盖上预埋件盖板，即可保持地板面平整。</w:t>
            </w:r>
          </w:p>
        </w:tc>
        <w:tc>
          <w:tcPr>
            <w:tcW w:w="683" w:type="dxa"/>
            <w:shd w:val="clear" w:color="auto" w:fill="auto"/>
            <w:noWrap/>
            <w:vAlign w:val="center"/>
          </w:tcPr>
          <w:p w14:paraId="12D51C21">
            <w:pPr>
              <w:jc w:val="center"/>
              <w:rPr>
                <w:rFonts w:ascii="宋体" w:hAnsi="宋体" w:eastAsia="宋体"/>
                <w:color w:val="000000"/>
                <w:sz w:val="20"/>
                <w:szCs w:val="20"/>
              </w:rPr>
            </w:pPr>
            <w:r>
              <w:rPr>
                <w:rFonts w:hint="eastAsia" w:ascii="宋体" w:hAnsi="宋体" w:eastAsia="宋体"/>
                <w:color w:val="000000"/>
                <w:sz w:val="20"/>
                <w:szCs w:val="20"/>
              </w:rPr>
              <w:t>件</w:t>
            </w:r>
          </w:p>
        </w:tc>
        <w:tc>
          <w:tcPr>
            <w:tcW w:w="681" w:type="dxa"/>
            <w:shd w:val="clear" w:color="auto" w:fill="auto"/>
            <w:noWrap/>
            <w:vAlign w:val="center"/>
          </w:tcPr>
          <w:p w14:paraId="6ACFE769">
            <w:pPr>
              <w:jc w:val="center"/>
              <w:rPr>
                <w:rFonts w:ascii="宋体" w:hAnsi="宋体" w:eastAsia="宋体"/>
                <w:color w:val="000000"/>
                <w:sz w:val="20"/>
                <w:szCs w:val="20"/>
              </w:rPr>
            </w:pPr>
            <w:r>
              <w:rPr>
                <w:rFonts w:hint="eastAsia" w:ascii="宋体" w:hAnsi="宋体" w:eastAsia="宋体"/>
                <w:color w:val="000000"/>
                <w:sz w:val="20"/>
                <w:szCs w:val="20"/>
              </w:rPr>
              <w:t>10</w:t>
            </w:r>
          </w:p>
        </w:tc>
      </w:tr>
      <w:tr w14:paraId="6CB33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3" w:hRule="atLeast"/>
          <w:jc w:val="center"/>
        </w:trPr>
        <w:tc>
          <w:tcPr>
            <w:tcW w:w="664" w:type="dxa"/>
            <w:vAlign w:val="center"/>
          </w:tcPr>
          <w:p w14:paraId="087F61F2">
            <w:pPr>
              <w:jc w:val="center"/>
              <w:rPr>
                <w:rFonts w:ascii="宋体" w:hAnsi="宋体" w:eastAsia="宋体"/>
                <w:sz w:val="20"/>
                <w:szCs w:val="20"/>
              </w:rPr>
            </w:pPr>
            <w:r>
              <w:rPr>
                <w:rFonts w:hint="eastAsia" w:ascii="宋体" w:hAnsi="宋体" w:eastAsia="宋体"/>
                <w:sz w:val="20"/>
                <w:szCs w:val="20"/>
              </w:rPr>
              <w:t>1</w:t>
            </w:r>
            <w:r>
              <w:rPr>
                <w:rFonts w:ascii="宋体" w:hAnsi="宋体" w:eastAsia="宋体"/>
                <w:sz w:val="20"/>
                <w:szCs w:val="20"/>
              </w:rPr>
              <w:t>3</w:t>
            </w:r>
          </w:p>
        </w:tc>
        <w:tc>
          <w:tcPr>
            <w:tcW w:w="1550" w:type="dxa"/>
            <w:shd w:val="clear" w:color="auto" w:fill="auto"/>
            <w:noWrap/>
            <w:vAlign w:val="center"/>
          </w:tcPr>
          <w:p w14:paraId="60F2D73E">
            <w:pPr>
              <w:jc w:val="center"/>
              <w:rPr>
                <w:rFonts w:ascii="宋体" w:hAnsi="宋体" w:eastAsia="宋体"/>
                <w:sz w:val="20"/>
                <w:szCs w:val="20"/>
              </w:rPr>
            </w:pPr>
            <w:r>
              <w:rPr>
                <w:rFonts w:hint="eastAsia" w:ascii="宋体" w:hAnsi="宋体" w:eastAsia="宋体"/>
                <w:sz w:val="20"/>
                <w:szCs w:val="20"/>
              </w:rPr>
              <w:t>运动地板</w:t>
            </w:r>
          </w:p>
          <w:p w14:paraId="3D9545CC">
            <w:pPr>
              <w:jc w:val="center"/>
              <w:rPr>
                <w:rFonts w:ascii="宋体" w:hAnsi="宋体" w:eastAsia="宋体"/>
                <w:sz w:val="20"/>
                <w:szCs w:val="20"/>
              </w:rPr>
            </w:pPr>
            <w:r>
              <w:rPr>
                <w:rFonts w:hint="eastAsia" w:ascii="宋体" w:hAnsi="宋体" w:eastAsia="宋体"/>
                <w:sz w:val="20"/>
                <w:szCs w:val="20"/>
              </w:rPr>
              <w:t>（核心产品）</w:t>
            </w:r>
          </w:p>
        </w:tc>
        <w:tc>
          <w:tcPr>
            <w:tcW w:w="7200" w:type="dxa"/>
            <w:shd w:val="clear" w:color="auto" w:fill="auto"/>
            <w:noWrap/>
            <w:vAlign w:val="center"/>
          </w:tcPr>
          <w:p w14:paraId="6340CDCF">
            <w:pPr>
              <w:widowControl/>
              <w:jc w:val="left"/>
              <w:rPr>
                <w:rFonts w:ascii="宋体" w:hAnsi="宋体" w:eastAsia="宋体" w:cs="宋体"/>
                <w:kern w:val="0"/>
                <w:sz w:val="20"/>
                <w:szCs w:val="20"/>
              </w:rPr>
            </w:pPr>
            <w:r>
              <w:rPr>
                <w:rFonts w:ascii="宋体" w:hAnsi="宋体" w:eastAsia="宋体" w:cs="宋体"/>
                <w:kern w:val="0"/>
                <w:sz w:val="20"/>
                <w:szCs w:val="20"/>
              </w:rPr>
              <w:t>1.邵氏硬度70-90度（邵A）</w:t>
            </w:r>
          </w:p>
          <w:p w14:paraId="0B6E9F38">
            <w:pPr>
              <w:widowControl/>
              <w:jc w:val="left"/>
              <w:rPr>
                <w:rFonts w:ascii="宋体" w:hAnsi="宋体" w:eastAsia="宋体" w:cs="宋体"/>
                <w:kern w:val="0"/>
                <w:sz w:val="20"/>
                <w:szCs w:val="20"/>
              </w:rPr>
            </w:pPr>
            <w:r>
              <w:rPr>
                <w:rFonts w:ascii="宋体" w:hAnsi="宋体" w:eastAsia="宋体" w:cs="宋体"/>
                <w:kern w:val="0"/>
                <w:sz w:val="20"/>
                <w:szCs w:val="20"/>
              </w:rPr>
              <w:t>2.拉伸强度≥1.5MPa</w:t>
            </w:r>
          </w:p>
          <w:p w14:paraId="08B627A0">
            <w:pPr>
              <w:widowControl/>
              <w:jc w:val="left"/>
              <w:rPr>
                <w:rFonts w:ascii="宋体" w:hAnsi="宋体" w:eastAsia="宋体" w:cs="宋体"/>
                <w:kern w:val="0"/>
                <w:sz w:val="20"/>
                <w:szCs w:val="20"/>
              </w:rPr>
            </w:pPr>
            <w:r>
              <w:rPr>
                <w:rFonts w:ascii="宋体" w:hAnsi="宋体" w:eastAsia="宋体" w:cs="宋体"/>
                <w:kern w:val="0"/>
                <w:sz w:val="20"/>
                <w:szCs w:val="20"/>
              </w:rPr>
              <w:t>3.拉断伸长率≥120%</w:t>
            </w:r>
          </w:p>
          <w:p w14:paraId="446CFE89">
            <w:pPr>
              <w:widowControl/>
              <w:jc w:val="left"/>
              <w:rPr>
                <w:rFonts w:ascii="宋体" w:hAnsi="宋体" w:eastAsia="宋体" w:cs="宋体"/>
                <w:kern w:val="0"/>
                <w:sz w:val="20"/>
                <w:szCs w:val="20"/>
              </w:rPr>
            </w:pPr>
            <w:r>
              <w:rPr>
                <w:rFonts w:ascii="宋体" w:hAnsi="宋体" w:eastAsia="宋体" w:cs="宋体"/>
                <w:kern w:val="0"/>
                <w:sz w:val="20"/>
                <w:szCs w:val="20"/>
              </w:rPr>
              <w:t>4.面质量偏差≤±3%</w:t>
            </w:r>
          </w:p>
          <w:p w14:paraId="7B0B009E">
            <w:pPr>
              <w:widowControl/>
              <w:jc w:val="left"/>
              <w:rPr>
                <w:rFonts w:ascii="宋体" w:hAnsi="宋体" w:eastAsia="宋体" w:cs="宋体"/>
                <w:kern w:val="0"/>
                <w:sz w:val="20"/>
                <w:szCs w:val="20"/>
              </w:rPr>
            </w:pPr>
            <w:r>
              <w:rPr>
                <w:rFonts w:ascii="宋体" w:hAnsi="宋体" w:eastAsia="宋体" w:cs="宋体"/>
                <w:kern w:val="0"/>
                <w:sz w:val="20"/>
                <w:szCs w:val="20"/>
              </w:rPr>
              <w:t>5.加热尺寸变化率（纵向，横向）≤0.4%</w:t>
            </w:r>
          </w:p>
          <w:p w14:paraId="77D7200C">
            <w:pPr>
              <w:widowControl/>
              <w:jc w:val="left"/>
              <w:rPr>
                <w:rFonts w:ascii="宋体" w:hAnsi="宋体" w:eastAsia="宋体" w:cs="宋体"/>
                <w:kern w:val="0"/>
                <w:sz w:val="20"/>
                <w:szCs w:val="20"/>
              </w:rPr>
            </w:pPr>
            <w:r>
              <w:rPr>
                <w:rFonts w:ascii="宋体" w:hAnsi="宋体" w:eastAsia="宋体" w:cs="宋体"/>
                <w:kern w:val="0"/>
                <w:sz w:val="20"/>
                <w:szCs w:val="20"/>
              </w:rPr>
              <w:t>6.耐磨性T级，体积损失≤2.0mm³</w:t>
            </w:r>
          </w:p>
          <w:p w14:paraId="2A28C650">
            <w:pPr>
              <w:widowControl/>
              <w:jc w:val="left"/>
              <w:rPr>
                <w:rFonts w:ascii="宋体" w:hAnsi="宋体" w:eastAsia="宋体" w:cs="宋体"/>
                <w:kern w:val="0"/>
                <w:sz w:val="20"/>
                <w:szCs w:val="20"/>
              </w:rPr>
            </w:pPr>
            <w:r>
              <w:rPr>
                <w:rFonts w:ascii="宋体" w:hAnsi="宋体" w:eastAsia="宋体" w:cs="宋体"/>
                <w:kern w:val="0"/>
                <w:sz w:val="20"/>
                <w:szCs w:val="20"/>
              </w:rPr>
              <w:t>7.焊接强度，平均值≥500N/50mm；最小值≥400N/50mm</w:t>
            </w:r>
          </w:p>
          <w:p w14:paraId="513D9EDE">
            <w:pPr>
              <w:widowControl/>
              <w:jc w:val="left"/>
              <w:rPr>
                <w:rFonts w:ascii="宋体" w:hAnsi="宋体" w:eastAsia="宋体" w:cs="宋体"/>
                <w:kern w:val="0"/>
                <w:sz w:val="20"/>
                <w:szCs w:val="20"/>
              </w:rPr>
            </w:pPr>
            <w:r>
              <w:rPr>
                <w:rFonts w:ascii="宋体" w:hAnsi="宋体" w:eastAsia="宋体" w:cs="宋体"/>
                <w:kern w:val="0"/>
                <w:sz w:val="20"/>
                <w:szCs w:val="20"/>
              </w:rPr>
              <w:t>8.防滑性(湿法)≥0.6</w:t>
            </w:r>
          </w:p>
          <w:p w14:paraId="55CEBE58">
            <w:pPr>
              <w:widowControl/>
              <w:jc w:val="left"/>
              <w:rPr>
                <w:rFonts w:ascii="宋体" w:hAnsi="宋体" w:eastAsia="宋体" w:cs="宋体"/>
                <w:kern w:val="0"/>
                <w:sz w:val="20"/>
                <w:szCs w:val="20"/>
              </w:rPr>
            </w:pPr>
            <w:r>
              <w:rPr>
                <w:rFonts w:ascii="宋体" w:hAnsi="宋体" w:eastAsia="宋体" w:cs="宋体"/>
                <w:kern w:val="0"/>
                <w:sz w:val="20"/>
                <w:szCs w:val="20"/>
              </w:rPr>
              <w:t>9.阻燃性：Ⅰ级</w:t>
            </w:r>
          </w:p>
          <w:p w14:paraId="71086A1F">
            <w:pPr>
              <w:widowControl/>
              <w:jc w:val="left"/>
              <w:rPr>
                <w:rFonts w:ascii="宋体" w:hAnsi="宋体" w:eastAsia="宋体" w:cs="宋体"/>
                <w:kern w:val="0"/>
                <w:sz w:val="20"/>
                <w:szCs w:val="20"/>
              </w:rPr>
            </w:pPr>
            <w:r>
              <w:rPr>
                <w:rFonts w:ascii="宋体" w:hAnsi="宋体" w:eastAsia="宋体" w:cs="宋体"/>
                <w:kern w:val="0"/>
                <w:sz w:val="20"/>
                <w:szCs w:val="20"/>
              </w:rPr>
              <w:t>10.可溶性重金属铅含量≤20mg/㎡</w:t>
            </w:r>
          </w:p>
          <w:p w14:paraId="5474C629">
            <w:pPr>
              <w:widowControl/>
              <w:jc w:val="left"/>
              <w:rPr>
                <w:rFonts w:ascii="宋体" w:hAnsi="宋体" w:eastAsia="宋体" w:cs="宋体"/>
                <w:kern w:val="0"/>
                <w:sz w:val="20"/>
                <w:szCs w:val="20"/>
              </w:rPr>
            </w:pPr>
            <w:r>
              <w:rPr>
                <w:rFonts w:ascii="宋体" w:hAnsi="宋体" w:eastAsia="宋体" w:cs="宋体"/>
                <w:kern w:val="0"/>
                <w:sz w:val="20"/>
                <w:szCs w:val="20"/>
              </w:rPr>
              <w:t>11.可溶性重金属镉含量≤20mg/㎡</w:t>
            </w:r>
          </w:p>
          <w:p w14:paraId="0E549C44">
            <w:pPr>
              <w:widowControl/>
              <w:jc w:val="left"/>
              <w:rPr>
                <w:rFonts w:ascii="宋体" w:hAnsi="宋体" w:eastAsia="宋体" w:cs="宋体"/>
                <w:kern w:val="0"/>
                <w:sz w:val="20"/>
                <w:szCs w:val="20"/>
              </w:rPr>
            </w:pPr>
            <w:r>
              <w:rPr>
                <w:rFonts w:ascii="宋体" w:hAnsi="宋体" w:eastAsia="宋体" w:cs="宋体"/>
                <w:kern w:val="0"/>
                <w:sz w:val="20"/>
                <w:szCs w:val="20"/>
              </w:rPr>
              <w:t>12.灰分含量≤0.2%</w:t>
            </w:r>
          </w:p>
          <w:p w14:paraId="04B0468C">
            <w:pPr>
              <w:widowControl/>
              <w:jc w:val="left"/>
              <w:rPr>
                <w:rFonts w:ascii="宋体" w:hAnsi="宋体" w:eastAsia="宋体" w:cs="宋体"/>
                <w:kern w:val="0"/>
                <w:sz w:val="20"/>
                <w:szCs w:val="20"/>
              </w:rPr>
            </w:pPr>
            <w:r>
              <w:rPr>
                <w:rFonts w:ascii="宋体" w:hAnsi="宋体" w:eastAsia="宋体" w:cs="宋体"/>
                <w:kern w:val="0"/>
                <w:sz w:val="20"/>
                <w:szCs w:val="20"/>
              </w:rPr>
              <w:t>13.氯乙烯含量：未检出</w:t>
            </w:r>
          </w:p>
          <w:p w14:paraId="3B00DF39">
            <w:pPr>
              <w:widowControl/>
              <w:jc w:val="left"/>
              <w:rPr>
                <w:rFonts w:ascii="宋体" w:hAnsi="宋体" w:eastAsia="宋体" w:cs="宋体"/>
                <w:kern w:val="0"/>
                <w:sz w:val="20"/>
                <w:szCs w:val="20"/>
              </w:rPr>
            </w:pPr>
            <w:r>
              <w:rPr>
                <w:rFonts w:ascii="宋体" w:hAnsi="宋体" w:eastAsia="宋体" w:cs="宋体"/>
                <w:kern w:val="0"/>
                <w:sz w:val="20"/>
                <w:szCs w:val="20"/>
              </w:rPr>
              <w:t>★14.28天后甲苯、乙苯释放量未检出</w:t>
            </w:r>
          </w:p>
          <w:p w14:paraId="61A962EE">
            <w:pPr>
              <w:widowControl/>
              <w:jc w:val="left"/>
              <w:rPr>
                <w:rFonts w:ascii="宋体" w:hAnsi="宋体" w:eastAsia="宋体" w:cs="宋体"/>
                <w:kern w:val="0"/>
                <w:sz w:val="20"/>
                <w:szCs w:val="20"/>
              </w:rPr>
            </w:pPr>
            <w:r>
              <w:rPr>
                <w:rFonts w:ascii="宋体" w:hAnsi="宋体" w:eastAsia="宋体" w:cs="宋体"/>
                <w:kern w:val="0"/>
                <w:sz w:val="20"/>
                <w:szCs w:val="20"/>
              </w:rPr>
              <w:t>★15.抗菌性能检测（大肠</w:t>
            </w:r>
            <w:r>
              <w:rPr>
                <w:rFonts w:hint="eastAsia" w:ascii="宋体" w:hAnsi="宋体" w:eastAsia="宋体" w:cs="宋体"/>
                <w:kern w:val="0"/>
                <w:sz w:val="20"/>
                <w:szCs w:val="20"/>
              </w:rPr>
              <w:t>杆菌、金黄色葡萄球菌等</w:t>
            </w:r>
            <w:r>
              <w:rPr>
                <w:rFonts w:ascii="宋体" w:hAnsi="宋体" w:eastAsia="宋体" w:cs="宋体"/>
                <w:kern w:val="0"/>
                <w:sz w:val="20"/>
                <w:szCs w:val="20"/>
              </w:rPr>
              <w:t>5种及以上细菌），抗菌率≥99.5%。</w:t>
            </w:r>
          </w:p>
          <w:p w14:paraId="655AF833">
            <w:pPr>
              <w:widowControl/>
              <w:jc w:val="left"/>
              <w:rPr>
                <w:rFonts w:ascii="宋体" w:hAnsi="宋体" w:eastAsia="宋体" w:cs="宋体"/>
                <w:kern w:val="0"/>
                <w:sz w:val="20"/>
                <w:szCs w:val="20"/>
              </w:rPr>
            </w:pPr>
            <w:r>
              <w:rPr>
                <w:rFonts w:ascii="宋体" w:hAnsi="宋体" w:eastAsia="宋体" w:cs="宋体"/>
                <w:kern w:val="0"/>
                <w:sz w:val="20"/>
                <w:szCs w:val="20"/>
              </w:rPr>
              <w:t>★16.耐酸耐碱老化≥5000h，外观无龟裂、无粉化、变形、鼓包等缺陷，无变色等不良现象，抗滑值80-110.</w:t>
            </w:r>
          </w:p>
          <w:p w14:paraId="13C23D04">
            <w:pPr>
              <w:widowControl/>
              <w:jc w:val="left"/>
              <w:rPr>
                <w:rFonts w:ascii="宋体" w:hAnsi="宋体" w:eastAsia="宋体" w:cs="宋体"/>
                <w:kern w:val="0"/>
                <w:sz w:val="20"/>
                <w:szCs w:val="20"/>
              </w:rPr>
            </w:pPr>
            <w:r>
              <w:rPr>
                <w:rFonts w:ascii="宋体" w:hAnsi="宋体" w:eastAsia="宋体" w:cs="宋体"/>
                <w:kern w:val="0"/>
                <w:sz w:val="20"/>
                <w:szCs w:val="20"/>
              </w:rPr>
              <w:t>★17.耐环境应力开裂检测≥5000h，达到破裂率0%</w:t>
            </w:r>
          </w:p>
          <w:p w14:paraId="349F151B">
            <w:pPr>
              <w:widowControl/>
              <w:jc w:val="left"/>
              <w:rPr>
                <w:rFonts w:ascii="宋体" w:hAnsi="宋体" w:eastAsia="宋体" w:cs="宋体"/>
                <w:kern w:val="0"/>
                <w:sz w:val="20"/>
                <w:szCs w:val="20"/>
              </w:rPr>
            </w:pPr>
            <w:r>
              <w:rPr>
                <w:rFonts w:ascii="宋体" w:hAnsi="宋体" w:eastAsia="宋体" w:cs="宋体"/>
                <w:kern w:val="0"/>
                <w:sz w:val="20"/>
                <w:szCs w:val="20"/>
              </w:rPr>
              <w:t>★18.耐人工气候（透过玻璃）老化≥5000h，老化前后拉伸强度≥0.4MPa，老化前后垂直变形≤3mm，老化前后耐磨性(500r~1500r之间的质量损失)≤1.0g。</w:t>
            </w:r>
          </w:p>
        </w:tc>
        <w:tc>
          <w:tcPr>
            <w:tcW w:w="683" w:type="dxa"/>
            <w:shd w:val="clear" w:color="auto" w:fill="auto"/>
            <w:noWrap/>
            <w:vAlign w:val="center"/>
          </w:tcPr>
          <w:p w14:paraId="776576B4">
            <w:pPr>
              <w:jc w:val="center"/>
              <w:rPr>
                <w:rFonts w:ascii="宋体" w:hAnsi="宋体" w:eastAsia="宋体"/>
                <w:color w:val="000000"/>
                <w:sz w:val="20"/>
                <w:szCs w:val="20"/>
              </w:rPr>
            </w:pPr>
            <w:r>
              <w:rPr>
                <w:rFonts w:hint="eastAsia" w:ascii="宋体" w:hAnsi="宋体" w:eastAsia="宋体"/>
                <w:color w:val="000000"/>
                <w:sz w:val="20"/>
                <w:szCs w:val="20"/>
              </w:rPr>
              <w:t>平方</w:t>
            </w:r>
          </w:p>
        </w:tc>
        <w:tc>
          <w:tcPr>
            <w:tcW w:w="681" w:type="dxa"/>
            <w:shd w:val="clear" w:color="auto" w:fill="auto"/>
            <w:noWrap/>
            <w:vAlign w:val="center"/>
          </w:tcPr>
          <w:p w14:paraId="1B5D9A4D">
            <w:pPr>
              <w:jc w:val="center"/>
              <w:rPr>
                <w:rFonts w:ascii="宋体" w:hAnsi="宋体" w:eastAsia="宋体"/>
                <w:color w:val="000000"/>
                <w:sz w:val="20"/>
                <w:szCs w:val="20"/>
              </w:rPr>
            </w:pPr>
            <w:r>
              <w:rPr>
                <w:rFonts w:hint="eastAsia" w:ascii="宋体" w:hAnsi="宋体" w:eastAsia="宋体"/>
                <w:color w:val="000000"/>
                <w:sz w:val="20"/>
                <w:szCs w:val="20"/>
              </w:rPr>
              <w:t>145</w:t>
            </w:r>
          </w:p>
        </w:tc>
      </w:tr>
      <w:tr w14:paraId="0D100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664" w:type="dxa"/>
            <w:vAlign w:val="center"/>
          </w:tcPr>
          <w:p w14:paraId="3D106298">
            <w:pPr>
              <w:jc w:val="center"/>
              <w:rPr>
                <w:rFonts w:ascii="宋体" w:hAnsi="宋体" w:eastAsia="宋体"/>
                <w:sz w:val="20"/>
                <w:szCs w:val="20"/>
              </w:rPr>
            </w:pPr>
            <w:r>
              <w:rPr>
                <w:rFonts w:hint="eastAsia" w:ascii="宋体" w:hAnsi="宋体" w:eastAsia="宋体"/>
                <w:sz w:val="20"/>
                <w:szCs w:val="20"/>
              </w:rPr>
              <w:t>1</w:t>
            </w:r>
            <w:r>
              <w:rPr>
                <w:rFonts w:ascii="宋体" w:hAnsi="宋体" w:eastAsia="宋体"/>
                <w:sz w:val="20"/>
                <w:szCs w:val="20"/>
              </w:rPr>
              <w:t>4</w:t>
            </w:r>
          </w:p>
        </w:tc>
        <w:tc>
          <w:tcPr>
            <w:tcW w:w="1550" w:type="dxa"/>
            <w:shd w:val="clear" w:color="auto" w:fill="auto"/>
            <w:noWrap/>
            <w:vAlign w:val="center"/>
          </w:tcPr>
          <w:p w14:paraId="708698DF">
            <w:pPr>
              <w:jc w:val="center"/>
              <w:rPr>
                <w:rFonts w:ascii="宋体" w:hAnsi="宋体" w:eastAsia="宋体"/>
                <w:sz w:val="20"/>
                <w:szCs w:val="20"/>
              </w:rPr>
            </w:pPr>
            <w:r>
              <w:rPr>
                <w:rFonts w:hint="eastAsia" w:ascii="宋体" w:hAnsi="宋体" w:eastAsia="宋体"/>
                <w:sz w:val="20"/>
                <w:szCs w:val="20"/>
              </w:rPr>
              <w:t>体操房专用空气净化消毒仪</w:t>
            </w:r>
          </w:p>
        </w:tc>
        <w:tc>
          <w:tcPr>
            <w:tcW w:w="7200" w:type="dxa"/>
            <w:shd w:val="clear" w:color="auto" w:fill="auto"/>
            <w:noWrap/>
            <w:vAlign w:val="center"/>
          </w:tcPr>
          <w:p w14:paraId="01701D2F">
            <w:pPr>
              <w:widowControl/>
              <w:jc w:val="left"/>
              <w:rPr>
                <w:rFonts w:ascii="宋体" w:hAnsi="宋体" w:eastAsia="宋体" w:cs="宋体"/>
                <w:kern w:val="0"/>
                <w:sz w:val="20"/>
                <w:szCs w:val="20"/>
              </w:rPr>
            </w:pPr>
            <w:r>
              <w:rPr>
                <w:rFonts w:hint="eastAsia" w:ascii="宋体" w:hAnsi="宋体" w:eastAsia="宋体" w:cs="宋体"/>
                <w:kern w:val="0"/>
                <w:sz w:val="20"/>
                <w:szCs w:val="20"/>
              </w:rPr>
              <w:t>硬件功能：</w:t>
            </w:r>
          </w:p>
          <w:p w14:paraId="605B7F1F">
            <w:pPr>
              <w:widowControl/>
              <w:jc w:val="left"/>
              <w:rPr>
                <w:rFonts w:ascii="宋体" w:hAnsi="宋体" w:eastAsia="宋体" w:cs="宋体"/>
                <w:kern w:val="0"/>
                <w:sz w:val="20"/>
                <w:szCs w:val="20"/>
              </w:rPr>
            </w:pPr>
            <w:r>
              <w:rPr>
                <w:rFonts w:hint="eastAsia" w:ascii="宋体" w:hAnsi="宋体" w:eastAsia="宋体" w:cs="宋体"/>
                <w:kern w:val="0"/>
                <w:sz w:val="20"/>
                <w:szCs w:val="20"/>
              </w:rPr>
              <w:t>1.设备外型尺寸及结构：防止设备腐蚀，设备整体为钣金结构；保证设备消毒的有效性，活氧充分弥漫到整个空间，需将出风口朝下，整机的结构须≥880×195×400（mm）；</w:t>
            </w:r>
          </w:p>
          <w:p w14:paraId="5764D169">
            <w:pPr>
              <w:widowControl/>
              <w:jc w:val="left"/>
              <w:rPr>
                <w:rFonts w:ascii="宋体" w:hAnsi="宋体" w:eastAsia="宋体" w:cs="宋体"/>
                <w:kern w:val="0"/>
                <w:sz w:val="20"/>
                <w:szCs w:val="20"/>
              </w:rPr>
            </w:pPr>
            <w:r>
              <w:rPr>
                <w:rFonts w:hint="eastAsia" w:ascii="宋体" w:hAnsi="宋体" w:eastAsia="宋体" w:cs="宋体"/>
                <w:kern w:val="0"/>
                <w:sz w:val="20"/>
                <w:szCs w:val="20"/>
              </w:rPr>
              <w:t>2.正面面板采用红外模块人体感知探头，用于感知消毒模式下有人误闯能及时关闭机器，保证安全性；</w:t>
            </w:r>
          </w:p>
          <w:p w14:paraId="6537CED7">
            <w:pPr>
              <w:widowControl/>
              <w:jc w:val="left"/>
              <w:rPr>
                <w:rFonts w:ascii="宋体" w:hAnsi="宋体" w:eastAsia="宋体" w:cs="宋体"/>
                <w:kern w:val="0"/>
                <w:sz w:val="20"/>
                <w:szCs w:val="20"/>
              </w:rPr>
            </w:pPr>
            <w:r>
              <w:rPr>
                <w:rFonts w:hint="eastAsia" w:ascii="宋体" w:hAnsi="宋体" w:eastAsia="宋体" w:cs="宋体"/>
                <w:kern w:val="0"/>
                <w:sz w:val="20"/>
                <w:szCs w:val="20"/>
              </w:rPr>
              <w:t>3.正面面板有两个状态指示灯，分别指示系统的运行状态；</w:t>
            </w:r>
          </w:p>
          <w:p w14:paraId="7641B24B">
            <w:pPr>
              <w:widowControl/>
              <w:jc w:val="left"/>
              <w:rPr>
                <w:rFonts w:ascii="宋体" w:hAnsi="宋体" w:eastAsia="宋体" w:cs="宋体"/>
                <w:kern w:val="0"/>
                <w:sz w:val="20"/>
                <w:szCs w:val="20"/>
              </w:rPr>
            </w:pPr>
            <w:r>
              <w:rPr>
                <w:rFonts w:hint="eastAsia" w:ascii="宋体" w:hAnsi="宋体" w:eastAsia="宋体" w:cs="宋体"/>
                <w:kern w:val="0"/>
                <w:sz w:val="20"/>
                <w:szCs w:val="20"/>
              </w:rPr>
              <w:t>4.为了保证整机安全运行，不影响风速，设备出风口为栅格网孔；</w:t>
            </w:r>
          </w:p>
          <w:p w14:paraId="11DD8E33">
            <w:pPr>
              <w:widowControl/>
              <w:jc w:val="left"/>
              <w:rPr>
                <w:rFonts w:ascii="宋体" w:hAnsi="宋体" w:eastAsia="宋体" w:cs="宋体"/>
                <w:kern w:val="0"/>
                <w:sz w:val="20"/>
                <w:szCs w:val="20"/>
              </w:rPr>
            </w:pPr>
            <w:r>
              <w:rPr>
                <w:rFonts w:hint="eastAsia" w:ascii="宋体" w:hAnsi="宋体" w:eastAsia="宋体" w:cs="宋体"/>
                <w:kern w:val="0"/>
                <w:sz w:val="20"/>
                <w:szCs w:val="20"/>
              </w:rPr>
              <w:t>5.整机电源为：220V±22V，50Hz±1Hz；输入功率：180W；环境温度范围:-15℃～60℃；单台设备可消毒空间≤300立方米；</w:t>
            </w:r>
          </w:p>
          <w:p w14:paraId="1CBFB159">
            <w:pPr>
              <w:widowControl/>
              <w:jc w:val="left"/>
              <w:rPr>
                <w:rFonts w:ascii="宋体" w:hAnsi="宋体" w:eastAsia="宋体" w:cs="宋体"/>
                <w:kern w:val="0"/>
                <w:sz w:val="20"/>
                <w:szCs w:val="20"/>
              </w:rPr>
            </w:pPr>
            <w:r>
              <w:rPr>
                <w:rFonts w:hint="eastAsia" w:ascii="宋体" w:hAnsi="宋体" w:eastAsia="宋体" w:cs="宋体"/>
                <w:kern w:val="0"/>
                <w:sz w:val="20"/>
                <w:szCs w:val="20"/>
              </w:rPr>
              <w:t>6.在消毒模式下，开启消毒模式，持续工作特定的时间，可满足杀灭空气中的有害物质，包括肺炎克雷伯氏菌、白葡萄菌、自然菌、诺如病毒、流感病毒等有害病菌，灭杀率可达到99%；</w:t>
            </w:r>
          </w:p>
          <w:p w14:paraId="400C6721">
            <w:pPr>
              <w:widowControl/>
              <w:jc w:val="left"/>
              <w:rPr>
                <w:rFonts w:ascii="宋体" w:hAnsi="宋体" w:eastAsia="宋体" w:cs="宋体"/>
                <w:kern w:val="0"/>
                <w:sz w:val="20"/>
                <w:szCs w:val="20"/>
              </w:rPr>
            </w:pPr>
            <w:r>
              <w:rPr>
                <w:rFonts w:hint="eastAsia" w:ascii="宋体" w:hAnsi="宋体" w:eastAsia="宋体" w:cs="宋体"/>
                <w:kern w:val="0"/>
                <w:sz w:val="20"/>
                <w:szCs w:val="20"/>
              </w:rPr>
              <w:t>7.风速：≥10m/s，噪声：开机后，工作声音≤65db；</w:t>
            </w:r>
          </w:p>
          <w:p w14:paraId="08DADB18">
            <w:pPr>
              <w:widowControl/>
              <w:jc w:val="left"/>
              <w:rPr>
                <w:rFonts w:ascii="宋体" w:hAnsi="宋体" w:eastAsia="宋体" w:cs="宋体"/>
                <w:kern w:val="0"/>
                <w:sz w:val="20"/>
                <w:szCs w:val="20"/>
              </w:rPr>
            </w:pPr>
            <w:r>
              <w:rPr>
                <w:rFonts w:hint="eastAsia" w:ascii="宋体" w:hAnsi="宋体" w:eastAsia="宋体" w:cs="宋体"/>
                <w:kern w:val="0"/>
                <w:sz w:val="20"/>
                <w:szCs w:val="20"/>
              </w:rPr>
              <w:t>8.设备运行后，开启净化模式，负离子释放量不低于10万/cm³，并通过布朗运动弥漫整个空间，改善空气质量；</w:t>
            </w:r>
          </w:p>
          <w:p w14:paraId="6D14BA33">
            <w:pPr>
              <w:widowControl/>
              <w:jc w:val="left"/>
              <w:rPr>
                <w:rFonts w:ascii="宋体" w:hAnsi="宋体" w:eastAsia="宋体" w:cs="宋体"/>
                <w:kern w:val="0"/>
                <w:sz w:val="20"/>
                <w:szCs w:val="20"/>
              </w:rPr>
            </w:pPr>
            <w:r>
              <w:rPr>
                <w:rFonts w:hint="eastAsia" w:ascii="宋体" w:hAnsi="宋体" w:eastAsia="宋体" w:cs="宋体"/>
                <w:kern w:val="0"/>
                <w:sz w:val="20"/>
                <w:szCs w:val="20"/>
              </w:rPr>
              <w:t>★9.设备运行后PM2.5净化率需达到99.9%；</w:t>
            </w:r>
          </w:p>
          <w:p w14:paraId="7EE81067">
            <w:pPr>
              <w:widowControl/>
              <w:jc w:val="left"/>
              <w:rPr>
                <w:rFonts w:ascii="宋体" w:hAnsi="宋体" w:eastAsia="宋体" w:cs="宋体"/>
                <w:kern w:val="0"/>
                <w:sz w:val="20"/>
                <w:szCs w:val="20"/>
              </w:rPr>
            </w:pPr>
            <w:r>
              <w:rPr>
                <w:rFonts w:hint="eastAsia" w:ascii="宋体" w:hAnsi="宋体" w:eastAsia="宋体" w:cs="宋体"/>
                <w:kern w:val="0"/>
                <w:sz w:val="20"/>
                <w:szCs w:val="20"/>
              </w:rPr>
              <w:t>10.甲型流感病毒H1N1去除率99.9%、人冠状病毒去除率99.9%、肠道病毒71型去除率99.9%、大肠杆菌除菌率99.9%；</w:t>
            </w:r>
          </w:p>
          <w:p w14:paraId="0DC0B876">
            <w:pPr>
              <w:widowControl/>
              <w:jc w:val="left"/>
              <w:rPr>
                <w:rFonts w:ascii="宋体" w:hAnsi="宋体" w:eastAsia="宋体" w:cs="宋体"/>
                <w:kern w:val="0"/>
                <w:sz w:val="20"/>
                <w:szCs w:val="20"/>
              </w:rPr>
            </w:pPr>
            <w:r>
              <w:rPr>
                <w:rFonts w:hint="eastAsia" w:ascii="宋体" w:hAnsi="宋体" w:eastAsia="宋体" w:cs="宋体"/>
                <w:kern w:val="0"/>
                <w:sz w:val="20"/>
                <w:szCs w:val="20"/>
              </w:rPr>
              <w:t>★11.为了保证设备的安全性，设备运行时出风口5cm处臭氧浓度需≤0.005㎎/m³；</w:t>
            </w:r>
          </w:p>
          <w:p w14:paraId="2D7E07C2">
            <w:pPr>
              <w:widowControl/>
              <w:jc w:val="left"/>
              <w:rPr>
                <w:rFonts w:ascii="宋体" w:hAnsi="宋体" w:eastAsia="宋体" w:cs="宋体"/>
                <w:kern w:val="0"/>
                <w:sz w:val="20"/>
                <w:szCs w:val="20"/>
              </w:rPr>
            </w:pPr>
            <w:r>
              <w:rPr>
                <w:rFonts w:hint="eastAsia" w:ascii="宋体" w:hAnsi="宋体" w:eastAsia="宋体" w:cs="宋体"/>
                <w:kern w:val="0"/>
                <w:sz w:val="20"/>
                <w:szCs w:val="20"/>
              </w:rPr>
              <w:t>★12.为了保证设备的安全性，设备运行时出风口20cm处PM10的浓度≤0.005㎎/m³；</w:t>
            </w:r>
          </w:p>
          <w:p w14:paraId="3BD3CA31">
            <w:pPr>
              <w:widowControl/>
              <w:jc w:val="left"/>
              <w:rPr>
                <w:rFonts w:ascii="宋体" w:hAnsi="宋体" w:eastAsia="宋体" w:cs="宋体"/>
                <w:kern w:val="0"/>
                <w:sz w:val="20"/>
                <w:szCs w:val="20"/>
              </w:rPr>
            </w:pPr>
            <w:r>
              <w:rPr>
                <w:rFonts w:hint="eastAsia" w:ascii="宋体" w:hAnsi="宋体" w:eastAsia="宋体" w:cs="宋体"/>
                <w:kern w:val="0"/>
                <w:sz w:val="20"/>
                <w:szCs w:val="20"/>
              </w:rPr>
              <w:t>软件功能：</w:t>
            </w:r>
          </w:p>
          <w:p w14:paraId="6518D8BE">
            <w:pPr>
              <w:widowControl/>
              <w:jc w:val="left"/>
              <w:rPr>
                <w:rFonts w:ascii="宋体" w:hAnsi="宋体" w:eastAsia="宋体" w:cs="宋体"/>
                <w:kern w:val="0"/>
                <w:sz w:val="20"/>
                <w:szCs w:val="20"/>
                <w:lang w:bidi="ar"/>
              </w:rPr>
            </w:pPr>
            <w:r>
              <w:rPr>
                <w:rFonts w:hint="eastAsia" w:ascii="宋体" w:hAnsi="宋体" w:eastAsia="宋体" w:cs="宋体"/>
                <w:kern w:val="0"/>
                <w:sz w:val="20"/>
                <w:szCs w:val="20"/>
                <w:lang w:bidi="ar"/>
              </w:rPr>
              <w:t>1.为了方便用户管理，系统可以支持https访问，手机等作为终端访问系统无需安装第三方客户端软件；</w:t>
            </w:r>
          </w:p>
          <w:p w14:paraId="37A72787">
            <w:pPr>
              <w:widowControl/>
              <w:jc w:val="left"/>
              <w:rPr>
                <w:rFonts w:ascii="宋体" w:hAnsi="宋体" w:eastAsia="宋体" w:cs="宋体"/>
                <w:kern w:val="0"/>
                <w:sz w:val="20"/>
                <w:szCs w:val="20"/>
                <w:lang w:bidi="ar"/>
              </w:rPr>
            </w:pPr>
            <w:r>
              <w:rPr>
                <w:rFonts w:hint="eastAsia" w:ascii="宋体" w:hAnsi="宋体" w:eastAsia="宋体" w:cs="宋体"/>
                <w:kern w:val="0"/>
                <w:sz w:val="20"/>
                <w:szCs w:val="20"/>
                <w:lang w:bidi="ar"/>
              </w:rPr>
              <w:t xml:space="preserve">2.系统运行安全、稳定，能够支持多用户同时在线使用； </w:t>
            </w:r>
          </w:p>
          <w:p w14:paraId="20D5BB55">
            <w:pPr>
              <w:widowControl/>
              <w:jc w:val="left"/>
              <w:rPr>
                <w:rFonts w:ascii="宋体" w:hAnsi="宋体" w:eastAsia="宋体" w:cs="宋体"/>
                <w:kern w:val="0"/>
                <w:sz w:val="20"/>
                <w:szCs w:val="20"/>
                <w:lang w:bidi="ar"/>
              </w:rPr>
            </w:pPr>
            <w:r>
              <w:rPr>
                <w:rFonts w:hint="eastAsia" w:ascii="宋体" w:hAnsi="宋体" w:eastAsia="宋体" w:cs="宋体"/>
                <w:kern w:val="0"/>
                <w:sz w:val="20"/>
                <w:szCs w:val="20"/>
                <w:lang w:bidi="ar"/>
              </w:rPr>
              <w:t>3.支持给每个用户的权限可控制具体的功能操作，如添加、修改、保存、删除以及对物联网设备的使用控制等；</w:t>
            </w:r>
          </w:p>
          <w:p w14:paraId="59126D74">
            <w:pPr>
              <w:widowControl/>
              <w:jc w:val="left"/>
              <w:rPr>
                <w:rFonts w:ascii="宋体" w:hAnsi="宋体" w:eastAsia="宋体" w:cs="宋体"/>
                <w:bCs/>
                <w:kern w:val="0"/>
                <w:sz w:val="20"/>
                <w:szCs w:val="20"/>
                <w:lang w:bidi="ar"/>
              </w:rPr>
            </w:pPr>
            <w:r>
              <w:rPr>
                <w:rFonts w:hint="eastAsia" w:ascii="宋体" w:hAnsi="宋体" w:eastAsia="宋体" w:cs="宋体"/>
                <w:bCs/>
                <w:kern w:val="0"/>
                <w:sz w:val="20"/>
                <w:szCs w:val="20"/>
                <w:lang w:bidi="ar"/>
              </w:rPr>
              <w:t>4.为便于设备的维护查看运行状态，控制平台实时显示总的设备台数、在线设备台数、离线设备台数；监测平台显示空气中PM2.5、PM10、TVOC、甲醛的有害物质含量并每二分钟更新一次的数据截图。（响应文件中需提供以上功能界面截图</w:t>
            </w:r>
            <w:r>
              <w:rPr>
                <w:rFonts w:hint="eastAsia" w:ascii="宋体" w:hAnsi="宋体" w:eastAsia="宋体" w:cs="宋体"/>
                <w:bCs/>
                <w:sz w:val="20"/>
                <w:szCs w:val="20"/>
              </w:rPr>
              <w:t>加以佐证）</w:t>
            </w:r>
          </w:p>
          <w:p w14:paraId="0D5B9234">
            <w:pPr>
              <w:widowControl/>
              <w:jc w:val="left"/>
              <w:rPr>
                <w:rFonts w:ascii="宋体" w:hAnsi="宋体" w:eastAsia="宋体" w:cs="宋体"/>
                <w:kern w:val="0"/>
                <w:sz w:val="20"/>
                <w:szCs w:val="20"/>
                <w:lang w:bidi="ar"/>
              </w:rPr>
            </w:pPr>
            <w:r>
              <w:rPr>
                <w:rFonts w:hint="eastAsia" w:ascii="宋体" w:hAnsi="宋体" w:eastAsia="宋体" w:cs="宋体"/>
                <w:kern w:val="0"/>
                <w:sz w:val="20"/>
                <w:szCs w:val="20"/>
                <w:lang w:bidi="ar"/>
              </w:rPr>
              <w:t>5.可以在系统内统一管理设备的基础信息，包括设备编号、地点名称、设备名称、设备状态等信息，可以通过设备编号进行设备的统计和管理；</w:t>
            </w:r>
          </w:p>
          <w:p w14:paraId="5E63084E">
            <w:pPr>
              <w:widowControl/>
              <w:jc w:val="left"/>
              <w:rPr>
                <w:rFonts w:ascii="宋体" w:hAnsi="宋体" w:eastAsia="宋体" w:cs="宋体"/>
                <w:kern w:val="0"/>
                <w:sz w:val="20"/>
                <w:szCs w:val="20"/>
                <w:lang w:bidi="ar"/>
              </w:rPr>
            </w:pPr>
            <w:r>
              <w:rPr>
                <w:rFonts w:hint="eastAsia" w:ascii="宋体" w:hAnsi="宋体" w:eastAsia="宋体" w:cs="宋体"/>
                <w:kern w:val="0"/>
                <w:sz w:val="20"/>
                <w:szCs w:val="20"/>
                <w:lang w:bidi="ar"/>
              </w:rPr>
              <w:t>6.实时查看设备的使用记录，包括臭氧的消杀记录、负离子的释放时间，根据每台设备每天的工作情况形成统一格式的报表数据，可以查看每台设备的工作时长；</w:t>
            </w:r>
          </w:p>
          <w:p w14:paraId="507623AF">
            <w:pPr>
              <w:widowControl/>
              <w:jc w:val="left"/>
              <w:rPr>
                <w:rFonts w:ascii="宋体" w:hAnsi="宋体" w:eastAsia="宋体" w:cs="宋体"/>
                <w:sz w:val="20"/>
                <w:szCs w:val="20"/>
              </w:rPr>
            </w:pPr>
            <w:r>
              <w:rPr>
                <w:rFonts w:hint="eastAsia" w:ascii="宋体" w:hAnsi="宋体" w:eastAsia="宋体" w:cs="宋体"/>
                <w:kern w:val="0"/>
                <w:sz w:val="20"/>
                <w:szCs w:val="20"/>
                <w:lang w:bidi="ar"/>
              </w:rPr>
              <w:t>7.远程控制设备平台消毒控制中，</w:t>
            </w:r>
            <w:r>
              <w:rPr>
                <w:rFonts w:hint="eastAsia" w:ascii="宋体" w:hAnsi="宋体" w:eastAsia="宋体" w:cs="宋体"/>
                <w:sz w:val="20"/>
                <w:szCs w:val="20"/>
              </w:rPr>
              <w:t>有自动控制、手动控制、AI模式、风速调节四个模块对设备进行切换控制；</w:t>
            </w:r>
          </w:p>
          <w:p w14:paraId="21B630FC">
            <w:pPr>
              <w:widowControl/>
              <w:jc w:val="left"/>
              <w:rPr>
                <w:rFonts w:ascii="宋体" w:hAnsi="宋体" w:eastAsia="宋体" w:cs="宋体"/>
                <w:sz w:val="20"/>
                <w:szCs w:val="20"/>
              </w:rPr>
            </w:pPr>
            <w:r>
              <w:rPr>
                <w:rFonts w:hint="eastAsia" w:ascii="宋体" w:hAnsi="宋体" w:eastAsia="宋体" w:cs="宋体"/>
                <w:kern w:val="0"/>
                <w:sz w:val="20"/>
                <w:szCs w:val="20"/>
                <w:lang w:bidi="ar"/>
              </w:rPr>
              <w:t>8.设备运行时，可以对机器进行风量调节，分别为高中低三档；</w:t>
            </w:r>
          </w:p>
          <w:p w14:paraId="52709E2B">
            <w:pPr>
              <w:rPr>
                <w:rFonts w:ascii="宋体" w:hAnsi="宋体" w:eastAsia="宋体" w:cs="宋体"/>
                <w:sz w:val="20"/>
                <w:szCs w:val="20"/>
              </w:rPr>
            </w:pPr>
            <w:r>
              <w:rPr>
                <w:rFonts w:hint="eastAsia" w:ascii="宋体" w:hAnsi="宋体" w:eastAsia="宋体" w:cs="宋体"/>
                <w:sz w:val="20"/>
                <w:szCs w:val="20"/>
              </w:rPr>
              <w:t>9.设备在AI模式下，夜间23:00-1:00之间随机分段消毒合计60min，默认中风速；</w:t>
            </w:r>
          </w:p>
          <w:p w14:paraId="70A8EEDF">
            <w:pPr>
              <w:widowControl/>
              <w:jc w:val="left"/>
              <w:rPr>
                <w:rFonts w:ascii="宋体" w:hAnsi="宋体" w:eastAsia="宋体" w:cs="宋体"/>
                <w:kern w:val="0"/>
                <w:sz w:val="20"/>
                <w:szCs w:val="20"/>
                <w:lang w:bidi="ar"/>
              </w:rPr>
            </w:pPr>
            <w:r>
              <w:rPr>
                <w:rFonts w:hint="eastAsia" w:ascii="宋体" w:hAnsi="宋体" w:eastAsia="宋体" w:cs="宋体"/>
                <w:sz w:val="20"/>
                <w:szCs w:val="20"/>
              </w:rPr>
              <w:t>10.监测平台中，体现设备耗材光触媒的使用寿命，不低于3600小时；</w:t>
            </w:r>
          </w:p>
          <w:p w14:paraId="5BFAFA44">
            <w:pPr>
              <w:widowControl/>
              <w:jc w:val="left"/>
              <w:rPr>
                <w:rFonts w:ascii="宋体" w:hAnsi="宋体" w:eastAsia="宋体" w:cs="宋体"/>
                <w:kern w:val="0"/>
                <w:sz w:val="20"/>
                <w:szCs w:val="20"/>
              </w:rPr>
            </w:pPr>
            <w:r>
              <w:rPr>
                <w:rFonts w:hint="eastAsia" w:ascii="宋体" w:hAnsi="宋体" w:eastAsia="宋体" w:cs="宋体"/>
                <w:sz w:val="20"/>
                <w:szCs w:val="20"/>
              </w:rPr>
              <w:t>11.监测平台中，体现使用空间内TVOC含量的折线图。</w:t>
            </w:r>
          </w:p>
        </w:tc>
        <w:tc>
          <w:tcPr>
            <w:tcW w:w="683" w:type="dxa"/>
            <w:shd w:val="clear" w:color="auto" w:fill="auto"/>
            <w:noWrap/>
            <w:vAlign w:val="center"/>
          </w:tcPr>
          <w:p w14:paraId="1FA0EBF1">
            <w:pPr>
              <w:jc w:val="center"/>
              <w:rPr>
                <w:rFonts w:ascii="宋体" w:hAnsi="宋体" w:eastAsia="宋体"/>
                <w:color w:val="000000"/>
                <w:sz w:val="20"/>
                <w:szCs w:val="20"/>
              </w:rPr>
            </w:pPr>
            <w:r>
              <w:rPr>
                <w:rFonts w:hint="eastAsia" w:ascii="宋体" w:hAnsi="宋体" w:eastAsia="宋体"/>
                <w:color w:val="000000"/>
                <w:sz w:val="20"/>
                <w:szCs w:val="20"/>
              </w:rPr>
              <w:t>台</w:t>
            </w:r>
          </w:p>
        </w:tc>
        <w:tc>
          <w:tcPr>
            <w:tcW w:w="681" w:type="dxa"/>
            <w:shd w:val="clear" w:color="auto" w:fill="auto"/>
            <w:noWrap/>
            <w:vAlign w:val="center"/>
          </w:tcPr>
          <w:p w14:paraId="1B5A958C">
            <w:pPr>
              <w:jc w:val="center"/>
              <w:rPr>
                <w:rFonts w:ascii="宋体" w:hAnsi="宋体" w:eastAsia="宋体"/>
                <w:color w:val="000000"/>
                <w:sz w:val="20"/>
                <w:szCs w:val="20"/>
              </w:rPr>
            </w:pPr>
            <w:r>
              <w:rPr>
                <w:rFonts w:hint="eastAsia" w:ascii="宋体" w:hAnsi="宋体" w:eastAsia="宋体"/>
                <w:color w:val="000000"/>
                <w:sz w:val="20"/>
                <w:szCs w:val="20"/>
              </w:rPr>
              <w:t>2</w:t>
            </w:r>
          </w:p>
        </w:tc>
      </w:tr>
      <w:tr w14:paraId="79681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664" w:type="dxa"/>
            <w:vAlign w:val="center"/>
          </w:tcPr>
          <w:p w14:paraId="06297F23">
            <w:pPr>
              <w:jc w:val="center"/>
              <w:rPr>
                <w:rFonts w:ascii="宋体" w:hAnsi="宋体" w:eastAsia="宋体"/>
                <w:sz w:val="20"/>
                <w:szCs w:val="20"/>
              </w:rPr>
            </w:pPr>
            <w:r>
              <w:rPr>
                <w:rFonts w:hint="eastAsia" w:ascii="宋体" w:hAnsi="宋体" w:eastAsia="宋体"/>
                <w:sz w:val="20"/>
                <w:szCs w:val="20"/>
              </w:rPr>
              <w:t>1</w:t>
            </w:r>
            <w:r>
              <w:rPr>
                <w:rFonts w:ascii="宋体" w:hAnsi="宋体" w:eastAsia="宋体"/>
                <w:sz w:val="20"/>
                <w:szCs w:val="20"/>
              </w:rPr>
              <w:t>5</w:t>
            </w:r>
          </w:p>
        </w:tc>
        <w:tc>
          <w:tcPr>
            <w:tcW w:w="1550" w:type="dxa"/>
            <w:shd w:val="clear" w:color="auto" w:fill="auto"/>
            <w:noWrap/>
            <w:vAlign w:val="center"/>
          </w:tcPr>
          <w:p w14:paraId="4B31E384">
            <w:pPr>
              <w:rPr>
                <w:rFonts w:ascii="宋体" w:hAnsi="宋体" w:eastAsia="宋体"/>
                <w:sz w:val="20"/>
                <w:szCs w:val="20"/>
              </w:rPr>
            </w:pPr>
            <w:r>
              <w:rPr>
                <w:rFonts w:hint="eastAsia" w:ascii="宋体" w:hAnsi="宋体" w:eastAsia="宋体"/>
                <w:sz w:val="20"/>
                <w:szCs w:val="20"/>
              </w:rPr>
              <w:t>音乐北楼104、105改造（290平米）</w:t>
            </w:r>
          </w:p>
        </w:tc>
        <w:tc>
          <w:tcPr>
            <w:tcW w:w="7200" w:type="dxa"/>
            <w:shd w:val="clear" w:color="auto" w:fill="auto"/>
            <w:noWrap/>
            <w:vAlign w:val="center"/>
          </w:tcPr>
          <w:p w14:paraId="255C7EB7">
            <w:pPr>
              <w:widowControl/>
              <w:jc w:val="left"/>
              <w:rPr>
                <w:rFonts w:ascii="宋体" w:hAnsi="宋体" w:eastAsia="宋体" w:cs="宋体"/>
                <w:kern w:val="0"/>
                <w:sz w:val="20"/>
                <w:szCs w:val="20"/>
              </w:rPr>
            </w:pPr>
            <w:r>
              <w:rPr>
                <w:rFonts w:hint="eastAsia" w:ascii="宋体" w:hAnsi="宋体" w:eastAsia="宋体" w:cs="宋体"/>
                <w:kern w:val="0"/>
                <w:sz w:val="20"/>
                <w:szCs w:val="20"/>
              </w:rPr>
              <w:t>1.原有健身器材拆卸、搬运至美术北楼安装。</w:t>
            </w:r>
          </w:p>
          <w:p w14:paraId="13C6EDF5">
            <w:pPr>
              <w:widowControl/>
              <w:jc w:val="left"/>
              <w:rPr>
                <w:rFonts w:ascii="宋体" w:hAnsi="宋体" w:eastAsia="宋体" w:cs="宋体"/>
                <w:kern w:val="0"/>
                <w:sz w:val="20"/>
                <w:szCs w:val="20"/>
              </w:rPr>
            </w:pPr>
            <w:r>
              <w:rPr>
                <w:rFonts w:hint="eastAsia" w:ascii="宋体" w:hAnsi="宋体" w:eastAsia="宋体" w:cs="宋体"/>
                <w:kern w:val="0"/>
                <w:sz w:val="20"/>
                <w:szCs w:val="20"/>
              </w:rPr>
              <w:t>2</w:t>
            </w:r>
            <w:r>
              <w:rPr>
                <w:rFonts w:ascii="宋体" w:hAnsi="宋体" w:eastAsia="宋体" w:cs="宋体"/>
                <w:kern w:val="0"/>
                <w:sz w:val="20"/>
                <w:szCs w:val="20"/>
              </w:rPr>
              <w:t>.</w:t>
            </w:r>
            <w:r>
              <w:rPr>
                <w:rFonts w:hint="eastAsia" w:ascii="宋体" w:hAnsi="宋体" w:eastAsia="宋体" w:cs="宋体"/>
                <w:kern w:val="0"/>
                <w:sz w:val="20"/>
                <w:szCs w:val="20"/>
              </w:rPr>
              <w:t>原有墙面镜子、压腿把杆、更衣柜、投影仪、投影幕拆卸搬运至指定地点并安装。</w:t>
            </w:r>
          </w:p>
          <w:p w14:paraId="03AEDFE3">
            <w:pPr>
              <w:widowControl/>
              <w:jc w:val="left"/>
              <w:rPr>
                <w:rFonts w:ascii="宋体" w:hAnsi="宋体" w:eastAsia="宋体" w:cs="宋体"/>
                <w:kern w:val="0"/>
                <w:sz w:val="20"/>
                <w:szCs w:val="20"/>
              </w:rPr>
            </w:pPr>
            <w:r>
              <w:rPr>
                <w:rFonts w:hint="eastAsia" w:ascii="宋体" w:hAnsi="宋体" w:eastAsia="宋体" w:cs="宋体"/>
                <w:kern w:val="0"/>
                <w:sz w:val="20"/>
                <w:szCs w:val="20"/>
              </w:rPr>
              <w:t>3</w:t>
            </w:r>
            <w:r>
              <w:rPr>
                <w:rFonts w:ascii="宋体" w:hAnsi="宋体" w:eastAsia="宋体" w:cs="宋体"/>
                <w:kern w:val="0"/>
                <w:sz w:val="20"/>
                <w:szCs w:val="20"/>
              </w:rPr>
              <w:t>.</w:t>
            </w:r>
            <w:r>
              <w:rPr>
                <w:rFonts w:hint="eastAsia" w:ascii="宋体" w:hAnsi="宋体" w:eastAsia="宋体" w:cs="宋体"/>
                <w:kern w:val="0"/>
                <w:sz w:val="20"/>
                <w:szCs w:val="20"/>
              </w:rPr>
              <w:t>原有照明灯具全部升至顶平，照度不足情况下需增加灯具，含电路改造。</w:t>
            </w:r>
          </w:p>
          <w:p w14:paraId="2012D870">
            <w:pPr>
              <w:widowControl/>
              <w:jc w:val="left"/>
              <w:rPr>
                <w:rFonts w:ascii="宋体" w:hAnsi="宋体" w:eastAsia="宋体" w:cs="宋体"/>
                <w:kern w:val="0"/>
                <w:sz w:val="20"/>
                <w:szCs w:val="20"/>
              </w:rPr>
            </w:pPr>
            <w:r>
              <w:rPr>
                <w:rFonts w:hint="eastAsia" w:ascii="宋体" w:hAnsi="宋体" w:eastAsia="宋体" w:cs="宋体"/>
                <w:kern w:val="0"/>
                <w:sz w:val="20"/>
                <w:szCs w:val="20"/>
              </w:rPr>
              <w:t>4</w:t>
            </w:r>
            <w:r>
              <w:rPr>
                <w:rFonts w:ascii="宋体" w:hAnsi="宋体" w:eastAsia="宋体" w:cs="宋体"/>
                <w:kern w:val="0"/>
                <w:sz w:val="20"/>
                <w:szCs w:val="20"/>
              </w:rPr>
              <w:t>.</w:t>
            </w:r>
            <w:r>
              <w:rPr>
                <w:rFonts w:hint="eastAsia" w:ascii="宋体" w:hAnsi="宋体" w:eastAsia="宋体" w:cs="宋体"/>
                <w:kern w:val="0"/>
                <w:sz w:val="20"/>
                <w:szCs w:val="20"/>
              </w:rPr>
              <w:t>墙面刷白。</w:t>
            </w:r>
          </w:p>
          <w:p w14:paraId="02C00493">
            <w:pPr>
              <w:widowControl/>
              <w:jc w:val="left"/>
              <w:rPr>
                <w:rFonts w:hint="eastAsia" w:ascii="宋体" w:hAnsi="宋体" w:eastAsia="宋体" w:cs="宋体"/>
                <w:kern w:val="0"/>
                <w:sz w:val="20"/>
                <w:szCs w:val="20"/>
              </w:rPr>
            </w:pPr>
            <w:r>
              <w:rPr>
                <w:rFonts w:hint="eastAsia" w:ascii="宋体" w:hAnsi="宋体" w:eastAsia="宋体" w:cs="宋体"/>
                <w:kern w:val="0"/>
                <w:sz w:val="20"/>
                <w:szCs w:val="20"/>
              </w:rPr>
              <w:t>5</w:t>
            </w:r>
            <w:r>
              <w:rPr>
                <w:rFonts w:ascii="宋体" w:hAnsi="宋体" w:eastAsia="宋体" w:cs="宋体"/>
                <w:kern w:val="0"/>
                <w:sz w:val="20"/>
                <w:szCs w:val="20"/>
              </w:rPr>
              <w:t>.</w:t>
            </w:r>
            <w:r>
              <w:rPr>
                <w:rFonts w:hint="eastAsia" w:ascii="宋体" w:hAnsi="宋体" w:eastAsia="宋体" w:cs="宋体"/>
                <w:kern w:val="0"/>
                <w:sz w:val="20"/>
                <w:szCs w:val="20"/>
              </w:rPr>
              <w:t>原有运动地板修复。</w:t>
            </w:r>
          </w:p>
        </w:tc>
        <w:tc>
          <w:tcPr>
            <w:tcW w:w="683" w:type="dxa"/>
            <w:shd w:val="clear" w:color="auto" w:fill="auto"/>
            <w:noWrap/>
            <w:vAlign w:val="center"/>
          </w:tcPr>
          <w:p w14:paraId="62F2138D">
            <w:pPr>
              <w:jc w:val="center"/>
              <w:rPr>
                <w:rFonts w:ascii="宋体" w:hAnsi="宋体" w:eastAsia="宋体"/>
                <w:color w:val="000000"/>
                <w:sz w:val="20"/>
                <w:szCs w:val="20"/>
              </w:rPr>
            </w:pPr>
            <w:r>
              <w:rPr>
                <w:rFonts w:hint="eastAsia" w:ascii="宋体" w:hAnsi="宋体" w:eastAsia="宋体"/>
                <w:color w:val="000000"/>
                <w:sz w:val="20"/>
                <w:szCs w:val="20"/>
              </w:rPr>
              <w:t>项</w:t>
            </w:r>
            <w:r>
              <w:rPr>
                <w:rFonts w:ascii="宋体" w:hAnsi="宋体" w:eastAsia="宋体"/>
                <w:color w:val="000000"/>
                <w:sz w:val="20"/>
                <w:szCs w:val="20"/>
              </w:rPr>
              <w:t xml:space="preserve"> </w:t>
            </w:r>
          </w:p>
        </w:tc>
        <w:tc>
          <w:tcPr>
            <w:tcW w:w="681" w:type="dxa"/>
            <w:shd w:val="clear" w:color="auto" w:fill="auto"/>
            <w:noWrap/>
            <w:vAlign w:val="center"/>
          </w:tcPr>
          <w:p w14:paraId="2C192F2F">
            <w:pPr>
              <w:jc w:val="center"/>
              <w:rPr>
                <w:rFonts w:ascii="宋体" w:hAnsi="宋体" w:eastAsia="宋体"/>
                <w:color w:val="000000"/>
                <w:sz w:val="20"/>
                <w:szCs w:val="20"/>
              </w:rPr>
            </w:pPr>
            <w:r>
              <w:rPr>
                <w:rFonts w:hint="eastAsia" w:ascii="宋体" w:hAnsi="宋体" w:eastAsia="宋体"/>
                <w:color w:val="000000"/>
                <w:sz w:val="20"/>
                <w:szCs w:val="20"/>
              </w:rPr>
              <w:t>1</w:t>
            </w:r>
          </w:p>
        </w:tc>
      </w:tr>
    </w:tbl>
    <w:p w14:paraId="4ED372C8">
      <w:pPr>
        <w:keepNext w:val="0"/>
        <w:keepLines w:val="0"/>
        <w:pageBreakBefore w:val="0"/>
        <w:widowControl w:val="0"/>
        <w:kinsoku/>
        <w:wordWrap/>
        <w:overflowPunct/>
        <w:topLinePunct w:val="0"/>
        <w:autoSpaceDE/>
        <w:autoSpaceDN/>
        <w:bidi w:val="0"/>
        <w:adjustRightInd w:val="0"/>
        <w:snapToGrid/>
        <w:spacing w:line="360" w:lineRule="auto"/>
        <w:textAlignment w:val="auto"/>
        <w:rPr>
          <w:rFonts w:hint="eastAsia" w:ascii="宋体" w:hAnsi="宋体" w:eastAsia="宋体"/>
          <w:sz w:val="22"/>
          <w:szCs w:val="22"/>
        </w:rPr>
      </w:pPr>
    </w:p>
    <w:p w14:paraId="7496B6C9">
      <w:pPr>
        <w:keepNext w:val="0"/>
        <w:keepLines w:val="0"/>
        <w:pageBreakBefore w:val="0"/>
        <w:widowControl w:val="0"/>
        <w:kinsoku/>
        <w:wordWrap/>
        <w:overflowPunct/>
        <w:topLinePunct w:val="0"/>
        <w:autoSpaceDE/>
        <w:autoSpaceDN/>
        <w:bidi w:val="0"/>
        <w:adjustRightInd w:val="0"/>
        <w:snapToGrid/>
        <w:spacing w:line="360" w:lineRule="auto"/>
        <w:textAlignment w:val="auto"/>
        <w:rPr>
          <w:rFonts w:ascii="宋体" w:hAnsi="宋体" w:eastAsia="宋体"/>
          <w:sz w:val="22"/>
          <w:szCs w:val="22"/>
        </w:rPr>
      </w:pPr>
      <w:r>
        <w:rPr>
          <w:rFonts w:hint="eastAsia" w:ascii="宋体" w:hAnsi="宋体" w:eastAsia="宋体"/>
          <w:sz w:val="22"/>
          <w:szCs w:val="22"/>
        </w:rPr>
        <w:t>备注：</w:t>
      </w:r>
    </w:p>
    <w:p w14:paraId="1E7EB745">
      <w:pPr>
        <w:keepNext w:val="0"/>
        <w:keepLines w:val="0"/>
        <w:pageBreakBefore w:val="0"/>
        <w:widowControl w:val="0"/>
        <w:kinsoku/>
        <w:wordWrap/>
        <w:overflowPunct/>
        <w:topLinePunct w:val="0"/>
        <w:autoSpaceDE/>
        <w:autoSpaceDN/>
        <w:bidi w:val="0"/>
        <w:adjustRightInd w:val="0"/>
        <w:snapToGrid/>
        <w:spacing w:line="360" w:lineRule="auto"/>
        <w:textAlignment w:val="auto"/>
        <w:rPr>
          <w:rFonts w:ascii="宋体" w:hAnsi="宋体" w:eastAsia="宋体"/>
          <w:sz w:val="22"/>
          <w:szCs w:val="22"/>
        </w:rPr>
      </w:pPr>
      <w:r>
        <w:rPr>
          <w:rFonts w:ascii="宋体" w:hAnsi="宋体" w:eastAsia="宋体"/>
          <w:sz w:val="22"/>
          <w:szCs w:val="22"/>
        </w:rPr>
        <w:t>1</w:t>
      </w:r>
      <w:r>
        <w:rPr>
          <w:rFonts w:hint="eastAsia" w:ascii="宋体" w:hAnsi="宋体" w:eastAsia="宋体"/>
          <w:sz w:val="22"/>
          <w:szCs w:val="22"/>
        </w:rPr>
        <w:t>、上述标注带★的技术参数及功能点，响应文件中需提供所投产品制造商的带</w:t>
      </w:r>
      <w:r>
        <w:rPr>
          <w:rFonts w:hint="eastAsia" w:ascii="宋体" w:hAnsi="宋体" w:eastAsia="宋体" w:cs="宋体"/>
          <w:sz w:val="22"/>
          <w:szCs w:val="22"/>
        </w:rPr>
        <w:t>CMA标志的</w:t>
      </w:r>
      <w:r>
        <w:rPr>
          <w:rFonts w:hint="eastAsia" w:ascii="宋体" w:hAnsi="宋体" w:eastAsia="宋体"/>
          <w:sz w:val="22"/>
          <w:szCs w:val="22"/>
        </w:rPr>
        <w:t>检测报告影印件进行佐证，运动地板产品检测报告还需提供国家认证认可监督管理委员会官网（</w:t>
      </w:r>
      <w:r>
        <w:rPr>
          <w:rFonts w:ascii="宋体" w:hAnsi="宋体" w:eastAsia="宋体"/>
          <w:sz w:val="22"/>
          <w:szCs w:val="22"/>
        </w:rPr>
        <w:t>www.cnca.gov.cn）查询截图</w:t>
      </w:r>
      <w:r>
        <w:rPr>
          <w:rFonts w:hint="eastAsia" w:ascii="宋体" w:hAnsi="宋体" w:eastAsia="宋体"/>
          <w:sz w:val="22"/>
          <w:szCs w:val="22"/>
        </w:rPr>
        <w:t>，检测报告原件中标后签订合同前核验。</w:t>
      </w:r>
    </w:p>
    <w:p w14:paraId="4F1BA99F">
      <w:pPr>
        <w:keepNext w:val="0"/>
        <w:keepLines w:val="0"/>
        <w:pageBreakBefore w:val="0"/>
        <w:widowControl w:val="0"/>
        <w:kinsoku/>
        <w:wordWrap/>
        <w:overflowPunct/>
        <w:topLinePunct w:val="0"/>
        <w:autoSpaceDE/>
        <w:autoSpaceDN/>
        <w:bidi w:val="0"/>
        <w:adjustRightInd w:val="0"/>
        <w:snapToGrid/>
        <w:spacing w:line="360" w:lineRule="auto"/>
        <w:textAlignment w:val="auto"/>
        <w:rPr>
          <w:rFonts w:ascii="宋体" w:hAnsi="宋体" w:eastAsia="宋体"/>
          <w:sz w:val="22"/>
          <w:szCs w:val="22"/>
        </w:rPr>
      </w:pPr>
      <w:r>
        <w:rPr>
          <w:rFonts w:ascii="宋体" w:hAnsi="宋体" w:eastAsia="宋体"/>
          <w:sz w:val="22"/>
          <w:szCs w:val="22"/>
        </w:rPr>
        <w:t>2</w:t>
      </w:r>
      <w:r>
        <w:rPr>
          <w:rFonts w:hint="eastAsia" w:ascii="宋体" w:hAnsi="宋体" w:eastAsia="宋体"/>
          <w:sz w:val="22"/>
          <w:szCs w:val="22"/>
        </w:rPr>
        <w:t>、因本次所采购设备具有一定安全隐患，中标人在中标后三个工作日内需提供所投单杠、双杠及其保护垫的样品供采购人核验，核验合格后方可签订采购合同，如在规定时间内不提供、提供不全或提供的样品与响应情况不一致、存在弄虚作假行为的，采购人有权解除合同并上报监管部门处理，由此造成的全部损失由中标人承担。</w:t>
      </w:r>
    </w:p>
    <w:p w14:paraId="58785D73">
      <w:pPr>
        <w:jc w:val="left"/>
        <w:rPr>
          <w:rFonts w:hint="eastAsia" w:ascii="Times New Roman" w:hAnsi="Times New Roman" w:eastAsia="宋体" w:cs="Times New Roman"/>
          <w:b/>
          <w:bCs/>
          <w:sz w:val="28"/>
          <w:szCs w:val="28"/>
          <w:lang w:val="en-US" w:eastAsia="zh-CN"/>
        </w:rPr>
      </w:pPr>
    </w:p>
    <w:p w14:paraId="70D96D7A">
      <w:pPr>
        <w:jc w:val="left"/>
        <w:rPr>
          <w:rFonts w:hint="eastAsia" w:ascii="Times New Roman" w:hAnsi="Times New Roman" w:eastAsia="宋体" w:cs="Times New Roman"/>
          <w:b/>
          <w:bCs/>
          <w:sz w:val="28"/>
          <w:szCs w:val="28"/>
          <w:lang w:val="en-US" w:eastAsia="zh-CN"/>
        </w:rPr>
      </w:pPr>
    </w:p>
    <w:p w14:paraId="130245CA">
      <w:pPr>
        <w:jc w:val="left"/>
        <w:rPr>
          <w:rFonts w:hint="eastAsia" w:ascii="Times New Roman" w:hAnsi="Times New Roman" w:eastAsia="宋体" w:cs="Times New Roman"/>
          <w:b/>
          <w:bCs/>
          <w:sz w:val="28"/>
          <w:szCs w:val="28"/>
          <w:lang w:val="en-US" w:eastAsia="zh-CN"/>
        </w:rPr>
      </w:pPr>
    </w:p>
    <w:p w14:paraId="5101C476">
      <w:pPr>
        <w:jc w:val="left"/>
        <w:rPr>
          <w:rFonts w:hint="eastAsia" w:ascii="Times New Roman" w:hAnsi="Times New Roman" w:eastAsia="宋体" w:cs="Times New Roman"/>
          <w:b/>
          <w:bCs/>
          <w:sz w:val="28"/>
          <w:szCs w:val="28"/>
          <w:lang w:val="en-US" w:eastAsia="zh-CN"/>
        </w:rPr>
      </w:pPr>
    </w:p>
    <w:p w14:paraId="06462882">
      <w:pPr>
        <w:jc w:val="left"/>
        <w:rPr>
          <w:rFonts w:hint="eastAsia" w:ascii="Times New Roman" w:hAnsi="Times New Roman" w:eastAsia="宋体" w:cs="Times New Roman"/>
          <w:b/>
          <w:bCs/>
          <w:sz w:val="28"/>
          <w:szCs w:val="28"/>
          <w:lang w:val="en-US" w:eastAsia="zh-CN"/>
        </w:rPr>
      </w:pPr>
    </w:p>
    <w:p w14:paraId="7900841D">
      <w:pPr>
        <w:jc w:val="left"/>
        <w:rPr>
          <w:rFonts w:hint="eastAsia" w:ascii="Times New Roman" w:hAnsi="Times New Roman" w:eastAsia="宋体" w:cs="Times New Roman"/>
          <w:b/>
          <w:bCs/>
          <w:sz w:val="28"/>
          <w:szCs w:val="28"/>
          <w:lang w:val="en-US" w:eastAsia="zh-CN"/>
        </w:rPr>
      </w:pPr>
    </w:p>
    <w:p w14:paraId="4ADA9310">
      <w:pPr>
        <w:jc w:val="left"/>
        <w:rPr>
          <w:rFonts w:hint="eastAsia" w:ascii="Times New Roman" w:hAnsi="Times New Roman" w:eastAsia="宋体" w:cs="Times New Roman"/>
          <w:b/>
          <w:bCs/>
          <w:sz w:val="28"/>
          <w:szCs w:val="28"/>
          <w:lang w:val="en-US" w:eastAsia="zh-CN"/>
        </w:rPr>
      </w:pPr>
    </w:p>
    <w:p w14:paraId="00EF4758">
      <w:pPr>
        <w:jc w:val="left"/>
        <w:rPr>
          <w:rFonts w:hint="eastAsia" w:ascii="Times New Roman" w:hAnsi="Times New Roman" w:eastAsia="宋体" w:cs="Times New Roman"/>
          <w:b/>
          <w:bCs/>
          <w:sz w:val="28"/>
          <w:szCs w:val="28"/>
          <w:lang w:val="en-US" w:eastAsia="zh-CN"/>
        </w:rPr>
      </w:pPr>
    </w:p>
    <w:p w14:paraId="50403C62">
      <w:pPr>
        <w:jc w:val="left"/>
        <w:rPr>
          <w:rFonts w:hint="eastAsia" w:ascii="Times New Roman" w:hAnsi="Times New Roman" w:eastAsia="宋体" w:cs="Times New Roman"/>
          <w:b/>
          <w:bCs/>
          <w:sz w:val="28"/>
          <w:szCs w:val="28"/>
          <w:lang w:val="en-US" w:eastAsia="zh-CN"/>
        </w:rPr>
      </w:pPr>
    </w:p>
    <w:p w14:paraId="3476BBDE">
      <w:pPr>
        <w:jc w:val="left"/>
        <w:rPr>
          <w:rFonts w:hint="eastAsia" w:ascii="Times New Roman" w:hAnsi="Times New Roman" w:eastAsia="宋体" w:cs="Times New Roman"/>
          <w:b/>
          <w:bCs/>
          <w:sz w:val="28"/>
          <w:szCs w:val="28"/>
          <w:lang w:val="en-US" w:eastAsia="zh-CN"/>
        </w:rPr>
      </w:pPr>
    </w:p>
    <w:p w14:paraId="6A3A0071">
      <w:pPr>
        <w:jc w:val="left"/>
        <w:rPr>
          <w:rFonts w:hint="eastAsia" w:ascii="Times New Roman" w:hAnsi="Times New Roman" w:eastAsia="宋体" w:cs="Times New Roman"/>
          <w:b/>
          <w:bCs/>
          <w:sz w:val="28"/>
          <w:szCs w:val="28"/>
          <w:lang w:val="en-US" w:eastAsia="zh-CN"/>
        </w:rPr>
      </w:pPr>
    </w:p>
    <w:p w14:paraId="4C1BF877">
      <w:pPr>
        <w:jc w:val="left"/>
        <w:rPr>
          <w:rFonts w:hint="eastAsia" w:ascii="Times New Roman" w:hAnsi="Times New Roman" w:eastAsia="宋体" w:cs="Times New Roman"/>
          <w:b/>
          <w:bCs/>
          <w:sz w:val="28"/>
          <w:szCs w:val="28"/>
          <w:lang w:val="en-US" w:eastAsia="zh-CN"/>
        </w:rPr>
      </w:pPr>
    </w:p>
    <w:p w14:paraId="7929F682">
      <w:pPr>
        <w:jc w:val="left"/>
        <w:rPr>
          <w:rFonts w:hint="eastAsia" w:ascii="Times New Roman" w:hAnsi="Times New Roman" w:eastAsia="宋体" w:cs="Times New Roman"/>
          <w:b/>
          <w:bCs/>
          <w:sz w:val="28"/>
          <w:szCs w:val="28"/>
          <w:lang w:val="en-US" w:eastAsia="zh-CN"/>
        </w:rPr>
      </w:pPr>
    </w:p>
    <w:p w14:paraId="6593FC6B">
      <w:pPr>
        <w:jc w:val="left"/>
        <w:rPr>
          <w:rFonts w:hint="eastAsia" w:ascii="Times New Roman" w:hAnsi="Times New Roman" w:eastAsia="宋体" w:cs="Times New Roman"/>
          <w:b/>
          <w:bCs/>
          <w:sz w:val="28"/>
          <w:szCs w:val="28"/>
          <w:lang w:val="en-US" w:eastAsia="zh-CN"/>
        </w:rPr>
      </w:pPr>
    </w:p>
    <w:p w14:paraId="0EE1137C">
      <w:pPr>
        <w:jc w:val="left"/>
        <w:rPr>
          <w:rFonts w:hint="eastAsia" w:ascii="Times New Roman" w:hAnsi="Times New Roman" w:eastAsia="宋体" w:cs="Times New Roman"/>
          <w:b/>
          <w:bCs/>
          <w:sz w:val="28"/>
          <w:szCs w:val="28"/>
          <w:lang w:val="en-US" w:eastAsia="zh-CN"/>
        </w:rPr>
      </w:pPr>
    </w:p>
    <w:p w14:paraId="2D0E3C9C">
      <w:pPr>
        <w:jc w:val="left"/>
        <w:rPr>
          <w:rFonts w:hint="eastAsia" w:ascii="Times New Roman" w:hAnsi="Times New Roman" w:eastAsia="宋体" w:cs="Times New Roman"/>
          <w:b/>
          <w:bCs/>
          <w:sz w:val="28"/>
          <w:szCs w:val="28"/>
          <w:lang w:val="en-US" w:eastAsia="zh-CN"/>
        </w:rPr>
      </w:pPr>
    </w:p>
    <w:p w14:paraId="6FD4F6A5">
      <w:pPr>
        <w:jc w:val="left"/>
        <w:rPr>
          <w:rFonts w:hint="eastAsia" w:ascii="Times New Roman" w:hAnsi="Times New Roman" w:eastAsia="宋体" w:cs="Times New Roman"/>
          <w:b/>
          <w:bCs/>
          <w:sz w:val="28"/>
          <w:szCs w:val="28"/>
          <w:lang w:val="en-US" w:eastAsia="zh-CN"/>
        </w:rPr>
      </w:pPr>
    </w:p>
    <w:p w14:paraId="7CEAFB17">
      <w:pPr>
        <w:jc w:val="left"/>
        <w:rPr>
          <w:rFonts w:hint="eastAsia" w:ascii="Times New Roman" w:hAnsi="Times New Roman" w:eastAsia="宋体" w:cs="Times New Roman"/>
          <w:b/>
          <w:bCs/>
          <w:sz w:val="28"/>
          <w:szCs w:val="28"/>
          <w:lang w:val="en-US" w:eastAsia="zh-CN"/>
        </w:rPr>
      </w:pPr>
    </w:p>
    <w:p w14:paraId="28D4ED91">
      <w:pPr>
        <w:pStyle w:val="2"/>
        <w:pageBreakBefore w:val="0"/>
        <w:numPr>
          <w:ilvl w:val="0"/>
          <w:numId w:val="0"/>
        </w:numPr>
        <w:kinsoku/>
        <w:overflowPunct/>
        <w:topLinePunct w:val="0"/>
        <w:autoSpaceDE/>
        <w:autoSpaceDN/>
        <w:bidi w:val="0"/>
        <w:spacing w:beforeAutospacing="0" w:after="0" w:afterAutospacing="0" w:line="500" w:lineRule="exact"/>
        <w:ind w:left="0" w:leftChars="0" w:right="0" w:firstLine="640" w:firstLineChars="200"/>
        <w:jc w:val="center"/>
        <w:rPr>
          <w:rFonts w:hint="eastAsia" w:ascii="Arial" w:hAnsi="Arial"/>
          <w:color w:val="auto"/>
          <w:kern w:val="2"/>
          <w:sz w:val="32"/>
          <w:szCs w:val="32"/>
          <w:highlight w:val="none"/>
          <w:lang w:val="en-US" w:eastAsia="zh-CN"/>
        </w:rPr>
      </w:pPr>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bookmarkEnd w:id="74"/>
    </w:p>
    <w:p w14:paraId="258DF170">
      <w:pPr>
        <w:pageBreakBefore w:val="0"/>
        <w:numPr>
          <w:ilvl w:val="0"/>
          <w:numId w:val="0"/>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24C5102C">
      <w:pPr>
        <w:pageBreakBefore w:val="0"/>
        <w:widowControl/>
        <w:numPr>
          <w:ilvl w:val="0"/>
          <w:numId w:val="0"/>
        </w:numPr>
        <w:kinsoku/>
        <w:overflowPunct/>
        <w:topLinePunct w:val="0"/>
        <w:autoSpaceDE/>
        <w:autoSpaceDN/>
        <w:bidi w:val="0"/>
        <w:spacing w:beforeAutospacing="0" w:afterAutospacing="0" w:line="500" w:lineRule="exact"/>
        <w:ind w:left="0" w:leftChars="0" w:right="0"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74C86958">
      <w:pPr>
        <w:pageBreakBefore w:val="0"/>
        <w:numPr>
          <w:ilvl w:val="0"/>
          <w:numId w:val="5"/>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51A1DD56">
      <w:pPr>
        <w:pageBreakBefore w:val="0"/>
        <w:numPr>
          <w:ilvl w:val="0"/>
          <w:numId w:val="0"/>
        </w:numPr>
        <w:kinsoku/>
        <w:overflowPunct/>
        <w:topLinePunct w:val="0"/>
        <w:autoSpaceDE/>
        <w:autoSpaceDN/>
        <w:bidi w:val="0"/>
        <w:spacing w:beforeAutospacing="0" w:afterAutospacing="0" w:line="500" w:lineRule="exact"/>
        <w:ind w:left="0" w:leftChars="0" w:right="0"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39"/>
        <w:tblW w:w="1044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3"/>
        <w:gridCol w:w="1757"/>
        <w:gridCol w:w="2358"/>
        <w:gridCol w:w="5638"/>
      </w:tblGrid>
      <w:tr w14:paraId="3EF29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0" w:hRule="atLeast"/>
          <w:jc w:val="center"/>
        </w:trPr>
        <w:tc>
          <w:tcPr>
            <w:tcW w:w="10446" w:type="dxa"/>
            <w:gridSpan w:val="4"/>
            <w:tcBorders>
              <w:bottom w:val="single" w:color="auto" w:sz="4" w:space="0"/>
            </w:tcBorders>
            <w:vAlign w:val="center"/>
          </w:tcPr>
          <w:p w14:paraId="7648E2D1">
            <w:pPr>
              <w:adjustRightInd w:val="0"/>
              <w:snapToGrid w:val="0"/>
              <w:spacing w:line="360" w:lineRule="auto"/>
              <w:ind w:right="-1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5C407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14:paraId="688F9E74">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757" w:type="dxa"/>
            <w:tcBorders>
              <w:bottom w:val="single" w:color="auto" w:sz="4" w:space="0"/>
            </w:tcBorders>
            <w:vAlign w:val="center"/>
          </w:tcPr>
          <w:p w14:paraId="6BF5C870">
            <w:pPr>
              <w:pStyle w:val="131"/>
              <w:pBdr>
                <w:bottom w:val="none" w:color="auto" w:sz="0" w:space="0"/>
              </w:pBdr>
              <w:tabs>
                <w:tab w:val="clear" w:pos="4153"/>
                <w:tab w:val="clear" w:pos="8306"/>
              </w:tabs>
              <w:snapToGrid w:val="0"/>
              <w:spacing w:line="360" w:lineRule="auto"/>
              <w:ind w:right="-1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358" w:type="dxa"/>
            <w:tcBorders>
              <w:bottom w:val="single" w:color="auto" w:sz="4" w:space="0"/>
            </w:tcBorders>
            <w:vAlign w:val="center"/>
          </w:tcPr>
          <w:p w14:paraId="0C64F4EA">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5638" w:type="dxa"/>
            <w:tcBorders>
              <w:bottom w:val="single" w:color="auto" w:sz="4" w:space="0"/>
            </w:tcBorders>
            <w:vAlign w:val="center"/>
          </w:tcPr>
          <w:p w14:paraId="6DB1C69E">
            <w:pPr>
              <w:adjustRightInd w:val="0"/>
              <w:snapToGrid w:val="0"/>
              <w:spacing w:line="360" w:lineRule="auto"/>
              <w:ind w:right="-1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1F0AF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693" w:type="dxa"/>
            <w:tcBorders>
              <w:bottom w:val="single" w:color="auto" w:sz="4" w:space="0"/>
            </w:tcBorders>
            <w:vAlign w:val="center"/>
          </w:tcPr>
          <w:p w14:paraId="2989DB4E">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757" w:type="dxa"/>
            <w:tcBorders>
              <w:bottom w:val="single" w:color="auto" w:sz="4" w:space="0"/>
            </w:tcBorders>
            <w:vAlign w:val="center"/>
          </w:tcPr>
          <w:p w14:paraId="66A53D88">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358" w:type="dxa"/>
            <w:tcBorders>
              <w:bottom w:val="single" w:color="auto" w:sz="4" w:space="0"/>
            </w:tcBorders>
            <w:vAlign w:val="center"/>
          </w:tcPr>
          <w:p w14:paraId="5BBFD5F7">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5638" w:type="dxa"/>
            <w:vMerge w:val="restart"/>
            <w:vAlign w:val="center"/>
          </w:tcPr>
          <w:p w14:paraId="28C8EF5D">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提供有效的</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）和税务登记证的扫描件，应完整</w:t>
            </w:r>
            <w:r>
              <w:rPr>
                <w:rFonts w:hint="eastAsia" w:ascii="宋体" w:hAnsi="宋体" w:cs="宋体"/>
                <w:color w:val="auto"/>
                <w:sz w:val="21"/>
                <w:szCs w:val="21"/>
                <w:highlight w:val="none"/>
                <w:lang w:eastAsia="zh-CN"/>
              </w:rPr>
              <w:t>地</w:t>
            </w:r>
            <w:r>
              <w:rPr>
                <w:rFonts w:hint="eastAsia" w:ascii="宋体" w:hAnsi="宋体" w:eastAsia="宋体" w:cs="宋体"/>
                <w:color w:val="auto"/>
                <w:sz w:val="21"/>
                <w:szCs w:val="21"/>
                <w:highlight w:val="none"/>
              </w:rPr>
              <w:t>体现出营业执照（或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）和税务登记证的全部内容。已办理“三证合一”登记的，</w:t>
            </w: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文件中提供营业执照（或</w:t>
            </w:r>
            <w:r>
              <w:rPr>
                <w:rFonts w:hint="eastAsia" w:ascii="宋体" w:hAnsi="宋体" w:cs="宋体"/>
                <w:color w:val="auto"/>
                <w:sz w:val="21"/>
                <w:szCs w:val="21"/>
                <w:highlight w:val="none"/>
                <w:lang w:eastAsia="zh-CN"/>
              </w:rPr>
              <w:t>事业单位法人</w:t>
            </w:r>
            <w:r>
              <w:rPr>
                <w:rFonts w:hint="eastAsia" w:ascii="宋体" w:hAnsi="宋体" w:eastAsia="宋体" w:cs="宋体"/>
                <w:color w:val="auto"/>
                <w:sz w:val="21"/>
                <w:szCs w:val="21"/>
                <w:highlight w:val="none"/>
              </w:rPr>
              <w:t>证书</w:t>
            </w:r>
            <w:r>
              <w:rPr>
                <w:rFonts w:hint="eastAsia" w:ascii="宋体" w:hAnsi="宋体" w:cs="宋体"/>
                <w:color w:val="auto"/>
                <w:szCs w:val="21"/>
                <w:highlight w:val="none"/>
                <w:lang w:val="en-US" w:eastAsia="zh-CN"/>
              </w:rPr>
              <w:t>或社会团体法人登记证书或民办非企业单位登记证书</w:t>
            </w:r>
            <w:r>
              <w:rPr>
                <w:rFonts w:hint="eastAsia" w:ascii="宋体" w:hAnsi="宋体" w:eastAsia="宋体" w:cs="宋体"/>
                <w:color w:val="auto"/>
                <w:sz w:val="21"/>
                <w:szCs w:val="21"/>
                <w:highlight w:val="none"/>
              </w:rPr>
              <w:t>）扫描件即可。联合体</w:t>
            </w: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rPr>
              <w:t>的联合体各方均须提供。</w:t>
            </w:r>
          </w:p>
        </w:tc>
      </w:tr>
      <w:tr w14:paraId="6838A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14:paraId="371DE64F">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1757" w:type="dxa"/>
            <w:tcBorders>
              <w:bottom w:val="single" w:color="auto" w:sz="4" w:space="0"/>
            </w:tcBorders>
            <w:vAlign w:val="center"/>
          </w:tcPr>
          <w:p w14:paraId="4D61216E">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税务登记证</w:t>
            </w:r>
          </w:p>
        </w:tc>
        <w:tc>
          <w:tcPr>
            <w:tcW w:w="2358" w:type="dxa"/>
            <w:tcBorders>
              <w:bottom w:val="single" w:color="auto" w:sz="4" w:space="0"/>
            </w:tcBorders>
            <w:vAlign w:val="center"/>
          </w:tcPr>
          <w:p w14:paraId="0E3F753D">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5638" w:type="dxa"/>
            <w:vMerge w:val="continue"/>
            <w:tcBorders>
              <w:bottom w:val="single" w:color="auto" w:sz="4" w:space="0"/>
            </w:tcBorders>
            <w:vAlign w:val="center"/>
          </w:tcPr>
          <w:p w14:paraId="4D1FB9E4">
            <w:pPr>
              <w:adjustRightInd w:val="0"/>
              <w:snapToGrid w:val="0"/>
              <w:spacing w:line="360" w:lineRule="auto"/>
              <w:ind w:right="-10"/>
              <w:jc w:val="center"/>
              <w:rPr>
                <w:rFonts w:hint="eastAsia" w:ascii="宋体" w:hAnsi="宋体" w:eastAsia="宋体" w:cs="宋体"/>
                <w:color w:val="auto"/>
                <w:sz w:val="21"/>
                <w:szCs w:val="21"/>
                <w:highlight w:val="none"/>
              </w:rPr>
            </w:pPr>
          </w:p>
        </w:tc>
      </w:tr>
      <w:tr w14:paraId="1ADC0C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3" w:type="dxa"/>
            <w:tcBorders>
              <w:bottom w:val="single" w:color="auto" w:sz="4" w:space="0"/>
            </w:tcBorders>
            <w:vAlign w:val="center"/>
          </w:tcPr>
          <w:p w14:paraId="6888585F">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757" w:type="dxa"/>
            <w:tcBorders>
              <w:bottom w:val="single" w:color="auto" w:sz="4" w:space="0"/>
            </w:tcBorders>
            <w:vAlign w:val="center"/>
          </w:tcPr>
          <w:p w14:paraId="1C23D2DF">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w:t>
            </w:r>
          </w:p>
          <w:p w14:paraId="1C79A2A8">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录查询</w:t>
            </w:r>
          </w:p>
        </w:tc>
        <w:tc>
          <w:tcPr>
            <w:tcW w:w="2358" w:type="dxa"/>
            <w:tcBorders>
              <w:bottom w:val="single" w:color="auto" w:sz="4" w:space="0"/>
            </w:tcBorders>
            <w:vAlign w:val="center"/>
          </w:tcPr>
          <w:p w14:paraId="223F1970">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 xml:space="preserve">须知正文第 </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5638" w:type="dxa"/>
            <w:tcBorders>
              <w:bottom w:val="single" w:color="auto" w:sz="4" w:space="0"/>
            </w:tcBorders>
            <w:vAlign w:val="center"/>
          </w:tcPr>
          <w:p w14:paraId="3CE848A2">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p w14:paraId="2AF4FAA4">
            <w:pPr>
              <w:pStyle w:val="47"/>
              <w:jc w:val="center"/>
              <w:rPr>
                <w:rFonts w:hint="eastAsia"/>
              </w:rPr>
            </w:pPr>
            <w:r>
              <w:rPr>
                <w:rFonts w:hint="eastAsia" w:ascii="宋体" w:hAnsi="宋体" w:cs="宋体"/>
                <w:color w:val="auto"/>
                <w:sz w:val="21"/>
                <w:szCs w:val="21"/>
                <w:highlight w:val="none"/>
                <w:lang w:val="en-US" w:eastAsia="zh-CN"/>
              </w:rPr>
              <w:t>（提供查询截图）</w:t>
            </w:r>
          </w:p>
        </w:tc>
      </w:tr>
      <w:tr w14:paraId="113575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tcBorders>
              <w:bottom w:val="single" w:color="auto" w:sz="4" w:space="0"/>
            </w:tcBorders>
            <w:vAlign w:val="center"/>
          </w:tcPr>
          <w:p w14:paraId="70FD8123">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1757" w:type="dxa"/>
            <w:tcBorders>
              <w:bottom w:val="single" w:color="auto" w:sz="4" w:space="0"/>
            </w:tcBorders>
            <w:vAlign w:val="center"/>
          </w:tcPr>
          <w:p w14:paraId="387B18DC">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358" w:type="dxa"/>
            <w:tcBorders>
              <w:bottom w:val="single" w:color="auto" w:sz="4" w:space="0"/>
            </w:tcBorders>
            <w:vAlign w:val="center"/>
          </w:tcPr>
          <w:p w14:paraId="3F46112A">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规定并加盖响应人电子签章</w:t>
            </w:r>
          </w:p>
        </w:tc>
        <w:tc>
          <w:tcPr>
            <w:tcW w:w="5638" w:type="dxa"/>
            <w:tcBorders>
              <w:bottom w:val="single" w:color="auto" w:sz="4" w:space="0"/>
            </w:tcBorders>
            <w:vAlign w:val="center"/>
          </w:tcPr>
          <w:p w14:paraId="782B9E4C">
            <w:pPr>
              <w:spacing w:line="360" w:lineRule="auto"/>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14B58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3" w:type="dxa"/>
            <w:tcBorders>
              <w:bottom w:val="single" w:color="auto" w:sz="4" w:space="0"/>
            </w:tcBorders>
            <w:vAlign w:val="center"/>
          </w:tcPr>
          <w:p w14:paraId="345C5E3C">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w:t>
            </w:r>
          </w:p>
        </w:tc>
        <w:tc>
          <w:tcPr>
            <w:tcW w:w="1757" w:type="dxa"/>
            <w:tcBorders>
              <w:bottom w:val="single" w:color="auto" w:sz="4" w:space="0"/>
            </w:tcBorders>
            <w:vAlign w:val="center"/>
          </w:tcPr>
          <w:p w14:paraId="1CB3B32E">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中小企业声明函</w:t>
            </w:r>
          </w:p>
        </w:tc>
        <w:tc>
          <w:tcPr>
            <w:tcW w:w="2358" w:type="dxa"/>
            <w:tcBorders>
              <w:bottom w:val="single" w:color="auto" w:sz="4" w:space="0"/>
            </w:tcBorders>
            <w:vAlign w:val="center"/>
          </w:tcPr>
          <w:p w14:paraId="682EDD38">
            <w:pPr>
              <w:spacing w:after="50"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5638" w:type="dxa"/>
            <w:tcBorders>
              <w:bottom w:val="single" w:color="auto" w:sz="4" w:space="0"/>
            </w:tcBorders>
            <w:vAlign w:val="center"/>
          </w:tcPr>
          <w:p w14:paraId="6965AA92">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26353B4B">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w:t>
            </w:r>
          </w:p>
          <w:p w14:paraId="06CB8564">
            <w:pPr>
              <w:adjustRightInd w:val="0"/>
              <w:snapToGrid w:val="0"/>
              <w:spacing w:line="360" w:lineRule="auto"/>
              <w:ind w:right="-1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于监狱企业的证明文件扫描件。</w:t>
            </w:r>
          </w:p>
        </w:tc>
      </w:tr>
      <w:tr w14:paraId="364FF3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7FF3A72D">
            <w:pPr>
              <w:adjustRightInd w:val="0"/>
              <w:snapToGrid w:val="0"/>
              <w:spacing w:line="360" w:lineRule="auto"/>
              <w:ind w:right="-1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w:t>
            </w:r>
          </w:p>
        </w:tc>
        <w:tc>
          <w:tcPr>
            <w:tcW w:w="1757" w:type="dxa"/>
            <w:vAlign w:val="center"/>
          </w:tcPr>
          <w:p w14:paraId="6A96095B">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358" w:type="dxa"/>
            <w:vAlign w:val="center"/>
          </w:tcPr>
          <w:p w14:paraId="5E50E5FC">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5638" w:type="dxa"/>
            <w:vAlign w:val="center"/>
          </w:tcPr>
          <w:p w14:paraId="22A6898B">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1DE8B4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4" w:hRule="atLeast"/>
          <w:jc w:val="center"/>
        </w:trPr>
        <w:tc>
          <w:tcPr>
            <w:tcW w:w="693" w:type="dxa"/>
            <w:vAlign w:val="center"/>
          </w:tcPr>
          <w:p w14:paraId="763E8AF1">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757" w:type="dxa"/>
            <w:vAlign w:val="center"/>
          </w:tcPr>
          <w:p w14:paraId="24261167">
            <w:pPr>
              <w:spacing w:after="50"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358" w:type="dxa"/>
            <w:vAlign w:val="center"/>
          </w:tcPr>
          <w:p w14:paraId="59D2B119">
            <w:pPr>
              <w:adjustRightInd w:val="0"/>
              <w:snapToGrid w:val="0"/>
              <w:spacing w:line="360" w:lineRule="auto"/>
              <w:ind w:right="-1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电子签章</w:t>
            </w:r>
          </w:p>
        </w:tc>
        <w:tc>
          <w:tcPr>
            <w:tcW w:w="5638" w:type="dxa"/>
            <w:vAlign w:val="center"/>
          </w:tcPr>
          <w:p w14:paraId="477C8B9B">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37115D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34EF1334">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757" w:type="dxa"/>
            <w:vAlign w:val="center"/>
          </w:tcPr>
          <w:p w14:paraId="2731EDC3">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358" w:type="dxa"/>
            <w:vAlign w:val="center"/>
          </w:tcPr>
          <w:p w14:paraId="2ECDD6EB">
            <w:pPr>
              <w:spacing w:after="50"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电子签章</w:t>
            </w:r>
          </w:p>
        </w:tc>
        <w:tc>
          <w:tcPr>
            <w:tcW w:w="5638" w:type="dxa"/>
            <w:vAlign w:val="center"/>
          </w:tcPr>
          <w:p w14:paraId="453527AF">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5214F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693" w:type="dxa"/>
            <w:vAlign w:val="center"/>
          </w:tcPr>
          <w:p w14:paraId="4EC0D405">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9</w:t>
            </w:r>
          </w:p>
        </w:tc>
        <w:tc>
          <w:tcPr>
            <w:tcW w:w="1757" w:type="dxa"/>
            <w:vAlign w:val="center"/>
          </w:tcPr>
          <w:p w14:paraId="6124FB5F">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358" w:type="dxa"/>
            <w:vAlign w:val="center"/>
          </w:tcPr>
          <w:p w14:paraId="4F3380A6">
            <w:pPr>
              <w:adjustRightInd w:val="0"/>
              <w:snapToGrid w:val="0"/>
              <w:spacing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 xml:space="preserve">供应商须知正文第 </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 xml:space="preserve"> 条要求</w:t>
            </w:r>
          </w:p>
        </w:tc>
        <w:tc>
          <w:tcPr>
            <w:tcW w:w="5638" w:type="dxa"/>
            <w:vAlign w:val="center"/>
          </w:tcPr>
          <w:p w14:paraId="3E699DD1">
            <w:pPr>
              <w:keepNext w:val="0"/>
              <w:keepLines w:val="0"/>
              <w:widowControl/>
              <w:suppressLineNumbers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543E9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3" w:type="dxa"/>
            <w:vAlign w:val="center"/>
          </w:tcPr>
          <w:p w14:paraId="7E065856">
            <w:pPr>
              <w:adjustRightInd w:val="0"/>
              <w:snapToGrid w:val="0"/>
              <w:spacing w:line="360" w:lineRule="auto"/>
              <w:ind w:right="-1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r>
              <w:rPr>
                <w:rFonts w:hint="eastAsia" w:ascii="宋体" w:hAnsi="宋体" w:cs="宋体"/>
                <w:color w:val="auto"/>
                <w:sz w:val="21"/>
                <w:szCs w:val="21"/>
                <w:highlight w:val="none"/>
                <w:lang w:val="en-US" w:eastAsia="zh-CN"/>
              </w:rPr>
              <w:t>0</w:t>
            </w:r>
          </w:p>
        </w:tc>
        <w:tc>
          <w:tcPr>
            <w:tcW w:w="1757" w:type="dxa"/>
            <w:vAlign w:val="center"/>
          </w:tcPr>
          <w:p w14:paraId="1F11B868">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eastAsia="zh-CN"/>
              </w:rPr>
              <w:t>技术参数评审</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如需</w:t>
            </w:r>
            <w:r>
              <w:rPr>
                <w:rFonts w:hint="eastAsia" w:ascii="宋体" w:hAnsi="宋体" w:cs="宋体"/>
                <w:color w:val="auto"/>
                <w:sz w:val="21"/>
                <w:szCs w:val="21"/>
                <w:highlight w:val="none"/>
                <w:lang w:eastAsia="zh-CN"/>
              </w:rPr>
              <w:t>）</w:t>
            </w:r>
          </w:p>
        </w:tc>
        <w:tc>
          <w:tcPr>
            <w:tcW w:w="2358" w:type="dxa"/>
            <w:vAlign w:val="center"/>
          </w:tcPr>
          <w:p w14:paraId="3D38CC3E">
            <w:pPr>
              <w:spacing w:after="50" w:line="240" w:lineRule="auto"/>
              <w:ind w:right="-10" w:rightChars="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技术参数有负偏离的或未提供技术证明文件之一予以证明的，按</w:t>
            </w: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lang w:eastAsia="zh-CN"/>
              </w:rPr>
              <w:t>无效处理。</w:t>
            </w:r>
          </w:p>
        </w:tc>
        <w:tc>
          <w:tcPr>
            <w:tcW w:w="5638" w:type="dxa"/>
            <w:vAlign w:val="center"/>
          </w:tcPr>
          <w:p w14:paraId="42827FDE">
            <w:pPr>
              <w:spacing w:after="50" w:line="360" w:lineRule="auto"/>
              <w:ind w:right="-10" w:right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的</w:t>
            </w:r>
            <w:r>
              <w:rPr>
                <w:rFonts w:hint="eastAsia" w:ascii="宋体" w:hAnsi="宋体" w:eastAsia="宋体" w:cs="宋体"/>
                <w:color w:val="auto"/>
                <w:sz w:val="21"/>
                <w:szCs w:val="21"/>
                <w:highlight w:val="none"/>
                <w:lang w:val="en-US" w:eastAsia="zh-CN"/>
              </w:rPr>
              <w:t>响应</w:t>
            </w:r>
            <w:r>
              <w:rPr>
                <w:rFonts w:hint="eastAsia" w:ascii="宋体" w:hAnsi="宋体" w:eastAsia="宋体" w:cs="宋体"/>
                <w:color w:val="auto"/>
                <w:sz w:val="21"/>
                <w:szCs w:val="21"/>
                <w:highlight w:val="none"/>
              </w:rPr>
              <w:t>文件中提供相关技术证明文件。</w:t>
            </w:r>
          </w:p>
        </w:tc>
      </w:tr>
      <w:tr w14:paraId="56BC9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 w:hRule="atLeast"/>
          <w:jc w:val="center"/>
        </w:trPr>
        <w:tc>
          <w:tcPr>
            <w:tcW w:w="693" w:type="dxa"/>
            <w:vAlign w:val="center"/>
          </w:tcPr>
          <w:p w14:paraId="66F42E2E">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11</w:t>
            </w:r>
          </w:p>
        </w:tc>
        <w:tc>
          <w:tcPr>
            <w:tcW w:w="1757" w:type="dxa"/>
            <w:vAlign w:val="center"/>
          </w:tcPr>
          <w:p w14:paraId="3E43B3B0">
            <w:pPr>
              <w:keepNext w:val="0"/>
              <w:keepLines w:val="0"/>
              <w:widowControl/>
              <w:suppressLineNumbers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p w14:paraId="0CE8046B">
            <w:pPr>
              <w:keepNext w:val="0"/>
              <w:keepLines w:val="0"/>
              <w:widowControl/>
              <w:suppressLineNumbers w:val="0"/>
              <w:jc w:val="center"/>
              <w:rPr>
                <w:rFonts w:hint="eastAsia" w:ascii="宋体" w:hAnsi="宋体" w:eastAsia="宋体" w:cs="宋体"/>
                <w:color w:val="auto"/>
                <w:sz w:val="21"/>
                <w:szCs w:val="21"/>
                <w:highlight w:val="none"/>
                <w:lang w:val="en-US" w:eastAsia="zh-CN"/>
              </w:rPr>
            </w:pPr>
          </w:p>
        </w:tc>
        <w:tc>
          <w:tcPr>
            <w:tcW w:w="2358" w:type="dxa"/>
            <w:vAlign w:val="center"/>
          </w:tcPr>
          <w:p w14:paraId="22DC123F">
            <w:pPr>
              <w:keepNext w:val="0"/>
              <w:keepLines w:val="0"/>
              <w:widowControl/>
              <w:suppressLineNumbers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符合谈判文件采购需求中付款方式、供货及安装地点、供货及安装期限等要求</w:t>
            </w:r>
          </w:p>
        </w:tc>
        <w:tc>
          <w:tcPr>
            <w:tcW w:w="5638" w:type="dxa"/>
            <w:vAlign w:val="center"/>
          </w:tcPr>
          <w:p w14:paraId="1C2FA53A">
            <w:pPr>
              <w:keepNext w:val="0"/>
              <w:keepLines w:val="0"/>
              <w:widowControl/>
              <w:suppressLineNumbers w:val="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7F882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6" w:hRule="atLeast"/>
          <w:jc w:val="center"/>
        </w:trPr>
        <w:tc>
          <w:tcPr>
            <w:tcW w:w="693" w:type="dxa"/>
            <w:vAlign w:val="center"/>
          </w:tcPr>
          <w:p w14:paraId="6CAF06CF">
            <w:pPr>
              <w:adjustRightInd w:val="0"/>
              <w:snapToGrid w:val="0"/>
              <w:spacing w:line="360" w:lineRule="auto"/>
              <w:ind w:right="-1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12</w:t>
            </w:r>
          </w:p>
        </w:tc>
        <w:tc>
          <w:tcPr>
            <w:tcW w:w="1757" w:type="dxa"/>
            <w:vAlign w:val="center"/>
          </w:tcPr>
          <w:p w14:paraId="3184F9A6">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w:t>
            </w:r>
          </w:p>
        </w:tc>
        <w:tc>
          <w:tcPr>
            <w:tcW w:w="2358" w:type="dxa"/>
            <w:vAlign w:val="center"/>
          </w:tcPr>
          <w:p w14:paraId="0F31744F">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格式、填写符合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规定并加盖供应商电子签章。</w:t>
            </w:r>
          </w:p>
        </w:tc>
        <w:tc>
          <w:tcPr>
            <w:tcW w:w="5638" w:type="dxa"/>
            <w:vAlign w:val="center"/>
          </w:tcPr>
          <w:p w14:paraId="424BBFED">
            <w:pPr>
              <w:keepNext w:val="0"/>
              <w:keepLines w:val="0"/>
              <w:widowControl/>
              <w:suppressLineNumbers w:val="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707CC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jc w:val="center"/>
        </w:trPr>
        <w:tc>
          <w:tcPr>
            <w:tcW w:w="693" w:type="dxa"/>
            <w:vAlign w:val="center"/>
          </w:tcPr>
          <w:p w14:paraId="524B9D28">
            <w:pPr>
              <w:adjustRightInd w:val="0"/>
              <w:snapToGrid w:val="0"/>
              <w:spacing w:line="360" w:lineRule="auto"/>
              <w:ind w:right="-1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13</w:t>
            </w:r>
          </w:p>
        </w:tc>
        <w:tc>
          <w:tcPr>
            <w:tcW w:w="1757" w:type="dxa"/>
            <w:vAlign w:val="center"/>
          </w:tcPr>
          <w:p w14:paraId="098F4105">
            <w:pPr>
              <w:spacing w:after="50" w:line="360" w:lineRule="auto"/>
              <w:ind w:right="-1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358" w:type="dxa"/>
            <w:vAlign w:val="center"/>
          </w:tcPr>
          <w:p w14:paraId="1224C116">
            <w:pPr>
              <w:keepNext w:val="0"/>
              <w:keepLines w:val="0"/>
              <w:widowControl/>
              <w:suppressLineNumbers w:val="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5638" w:type="dxa"/>
            <w:vAlign w:val="center"/>
          </w:tcPr>
          <w:p w14:paraId="78DB4AD6">
            <w:pPr>
              <w:spacing w:after="50" w:line="360" w:lineRule="auto"/>
              <w:ind w:right="-10" w:rightChars="0"/>
              <w:jc w:val="center"/>
              <w:rPr>
                <w:rFonts w:hint="eastAsia" w:ascii="宋体" w:hAnsi="宋体" w:eastAsia="宋体" w:cs="宋体"/>
                <w:color w:val="auto"/>
                <w:sz w:val="21"/>
                <w:szCs w:val="21"/>
                <w:highlight w:val="none"/>
              </w:rPr>
            </w:pPr>
          </w:p>
        </w:tc>
      </w:tr>
      <w:tr w14:paraId="1BF0AA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46" w:type="dxa"/>
            <w:gridSpan w:val="4"/>
            <w:tcBorders>
              <w:bottom w:val="single" w:color="auto" w:sz="4" w:space="0"/>
            </w:tcBorders>
            <w:vAlign w:val="center"/>
          </w:tcPr>
          <w:p w14:paraId="59AD1311">
            <w:pPr>
              <w:widowControl/>
              <w:spacing w:line="500" w:lineRule="exact"/>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588852FD">
            <w:pPr>
              <w:widowControl/>
              <w:spacing w:line="500" w:lineRule="exact"/>
              <w:jc w:val="left"/>
              <w:rPr>
                <w:rFonts w:hint="eastAsia"/>
                <w:color w:val="auto"/>
                <w:highlight w:val="none"/>
              </w:rPr>
            </w:pPr>
            <w:r>
              <w:rPr>
                <w:rFonts w:hint="eastAsia"/>
                <w:color w:val="auto"/>
                <w:highlight w:val="none"/>
              </w:rPr>
              <w:t xml:space="preserve">注： </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0BCB4B87">
            <w:pPr>
              <w:widowControl/>
              <w:spacing w:line="500" w:lineRule="exact"/>
              <w:jc w:val="left"/>
              <w:rPr>
                <w:rFonts w:hint="eastAsia" w:eastAsia="宋体"/>
                <w:color w:val="auto"/>
                <w:highlight w:val="none"/>
                <w:lang w:val="en-US" w:eastAsia="zh-CN"/>
              </w:rPr>
            </w:pPr>
            <w:r>
              <w:rPr>
                <w:rFonts w:hint="eastAsia" w:ascii="宋体" w:hAnsi="宋体"/>
                <w:color w:val="auto"/>
                <w:szCs w:val="21"/>
                <w:highlight w:val="none"/>
                <w:lang w:val="en-US" w:eastAsia="zh-CN"/>
              </w:rPr>
              <w:t>2、响应人应按照谈判文件要求提供证明材料。若响应人提供了谈判文件未要求的证明材料，谈判小组将不予评审。</w:t>
            </w:r>
          </w:p>
        </w:tc>
      </w:tr>
    </w:tbl>
    <w:p w14:paraId="43BA6D51">
      <w:pPr>
        <w:pageBreakBefore w:val="0"/>
        <w:numPr>
          <w:ilvl w:val="0"/>
          <w:numId w:val="0"/>
        </w:numPr>
        <w:kinsoku/>
        <w:overflowPunct/>
        <w:topLinePunct w:val="0"/>
        <w:autoSpaceDE/>
        <w:autoSpaceDN/>
        <w:bidi w:val="0"/>
        <w:spacing w:beforeAutospacing="0" w:afterAutospacing="0" w:line="500" w:lineRule="exact"/>
        <w:ind w:left="0" w:leftChars="0" w:right="0" w:firstLine="420" w:firstLineChars="200"/>
        <w:rPr>
          <w:rFonts w:hint="default"/>
          <w:color w:val="auto"/>
          <w:highlight w:val="none"/>
          <w:lang w:val="en-US"/>
        </w:rPr>
      </w:pPr>
    </w:p>
    <w:p w14:paraId="62EB8804">
      <w:pPr>
        <w:keepNext w:val="0"/>
        <w:keepLines w:val="0"/>
        <w:pageBreakBefore w:val="0"/>
        <w:widowControl w:val="0"/>
        <w:numPr>
          <w:ilvl w:val="0"/>
          <w:numId w:val="6"/>
        </w:numPr>
        <w:kinsoku/>
        <w:wordWrap/>
        <w:overflowPunct/>
        <w:topLinePunct w:val="0"/>
        <w:autoSpaceDE/>
        <w:autoSpaceDN/>
        <w:bidi w:val="0"/>
        <w:adjustRightInd/>
        <w:snapToGrid/>
        <w:spacing w:beforeAutospacing="0" w:afterAutospacing="0" w:line="500" w:lineRule="exact"/>
        <w:ind w:left="0" w:leftChars="0" w:right="0" w:firstLine="420" w:firstLineChars="200"/>
        <w:textAlignment w:val="auto"/>
        <w:rPr>
          <w:rFonts w:hint="eastAsia" w:ascii="宋体" w:hAnsi="宋体" w:cs="宋体"/>
          <w:b w:val="0"/>
          <w:bCs/>
          <w:color w:val="auto"/>
          <w:szCs w:val="21"/>
          <w:highlight w:val="none"/>
          <w:lang w:val="en-US" w:eastAsia="zh-CN"/>
        </w:rPr>
      </w:pPr>
      <w:bookmarkStart w:id="75" w:name="_Toc7241"/>
      <w:bookmarkStart w:id="76" w:name="_Toc3977"/>
      <w:bookmarkStart w:id="77" w:name="_Toc28300"/>
      <w:bookmarkStart w:id="78" w:name="_Toc431"/>
      <w:bookmarkStart w:id="79" w:name="_Toc27586"/>
      <w:bookmarkStart w:id="80" w:name="_Toc10569"/>
      <w:bookmarkStart w:id="81" w:name="_Toc54941340"/>
      <w:r>
        <w:rPr>
          <w:rFonts w:hint="eastAsia"/>
          <w:color w:val="auto"/>
          <w:highlight w:val="none"/>
          <w:lang w:val="en-US" w:eastAsia="zh-CN"/>
        </w:rPr>
        <w:t>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14:paraId="532705DF">
      <w:pPr>
        <w:keepNext w:val="0"/>
        <w:keepLines w:val="0"/>
        <w:pageBreakBefore w:val="0"/>
        <w:widowControl w:val="0"/>
        <w:numPr>
          <w:ilvl w:val="0"/>
          <w:numId w:val="6"/>
        </w:numPr>
        <w:kinsoku/>
        <w:wordWrap/>
        <w:overflowPunct/>
        <w:topLinePunct w:val="0"/>
        <w:autoSpaceDE/>
        <w:autoSpaceDN/>
        <w:bidi w:val="0"/>
        <w:adjustRightInd/>
        <w:snapToGrid/>
        <w:spacing w:beforeAutospacing="0" w:afterAutospacing="0" w:line="500" w:lineRule="exact"/>
        <w:ind w:left="0" w:leftChars="0" w:right="0" w:firstLine="420" w:firstLineChars="200"/>
        <w:textAlignment w:val="auto"/>
        <w:rPr>
          <w:rFonts w:hint="eastAsia" w:ascii="宋体" w:hAnsi="宋体" w:cs="宋体"/>
          <w:b w:val="0"/>
          <w:bCs/>
          <w:color w:val="auto"/>
          <w:szCs w:val="21"/>
          <w:highlight w:val="none"/>
          <w:lang w:val="en-US" w:eastAsia="zh-CN"/>
        </w:rPr>
      </w:pPr>
      <w:r>
        <w:rPr>
          <w:rFonts w:hint="eastAsia"/>
          <w:color w:val="auto"/>
          <w:highlight w:val="none"/>
          <w:lang w:val="en-US" w:eastAsia="zh-CN"/>
        </w:rPr>
        <w:t>最后报价评审，</w:t>
      </w:r>
      <w:r>
        <w:rPr>
          <w:rFonts w:hint="eastAsia" w:ascii="宋体" w:hAnsi="宋体" w:cs="宋体"/>
          <w:b w:val="0"/>
          <w:bCs/>
          <w:color w:val="auto"/>
          <w:szCs w:val="21"/>
          <w:highlight w:val="none"/>
          <w:lang w:val="en-US" w:eastAsia="zh-CN"/>
        </w:rPr>
        <w:t>符合谈判文件供应商须知正文第 24 条要求</w:t>
      </w:r>
      <w:bookmarkEnd w:id="75"/>
      <w:bookmarkEnd w:id="76"/>
      <w:bookmarkEnd w:id="77"/>
      <w:bookmarkEnd w:id="78"/>
      <w:bookmarkEnd w:id="79"/>
      <w:r>
        <w:rPr>
          <w:rFonts w:hint="eastAsia" w:ascii="宋体" w:hAnsi="宋体" w:cs="宋体"/>
          <w:b w:val="0"/>
          <w:bCs/>
          <w:color w:val="auto"/>
          <w:szCs w:val="21"/>
          <w:highlight w:val="none"/>
          <w:lang w:val="en-US" w:eastAsia="zh-CN"/>
        </w:rPr>
        <w:t>。</w:t>
      </w:r>
    </w:p>
    <w:p w14:paraId="354CEBF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00" w:lineRule="exact"/>
        <w:ind w:right="0" w:rightChars="0" w:firstLine="420" w:firstLineChars="200"/>
        <w:jc w:val="both"/>
        <w:textAlignment w:val="auto"/>
        <w:rPr>
          <w:rFonts w:hint="eastAsia" w:ascii="宋体" w:hAnsi="宋体" w:cs="宋体"/>
          <w:b w:val="0"/>
          <w:bCs/>
          <w:color w:val="auto"/>
          <w:szCs w:val="21"/>
          <w:highlight w:val="none"/>
          <w:lang w:val="en-US" w:eastAsia="zh-CN"/>
        </w:rPr>
      </w:pPr>
    </w:p>
    <w:p w14:paraId="4BF45D77">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00" w:lineRule="exact"/>
        <w:ind w:right="0" w:rightChars="0" w:firstLine="420" w:firstLineChars="200"/>
        <w:jc w:val="both"/>
        <w:textAlignment w:val="auto"/>
        <w:rPr>
          <w:rFonts w:hint="default" w:ascii="宋体" w:hAnsi="宋体" w:cs="宋体"/>
          <w:b w:val="0"/>
          <w:bCs/>
          <w:color w:val="auto"/>
          <w:szCs w:val="21"/>
          <w:highlight w:val="none"/>
          <w:lang w:val="en-US" w:eastAsia="zh-CN"/>
        </w:rPr>
        <w:sectPr>
          <w:footerReference r:id="rId7" w:type="default"/>
          <w:pgSz w:w="11906" w:h="16838"/>
          <w:pgMar w:top="1418" w:right="1418" w:bottom="1276" w:left="1418" w:header="680" w:footer="680" w:gutter="0"/>
          <w:pgNumType w:fmt="decimal"/>
          <w:cols w:space="720" w:num="1"/>
          <w:docGrid w:type="lines" w:linePitch="312" w:charSpace="0"/>
        </w:sectPr>
      </w:pPr>
    </w:p>
    <w:bookmarkEnd w:id="80"/>
    <w:bookmarkEnd w:id="81"/>
    <w:p w14:paraId="6C72421B">
      <w:pPr>
        <w:pStyle w:val="2"/>
        <w:numPr>
          <w:ilvl w:val="0"/>
          <w:numId w:val="0"/>
        </w:numPr>
        <w:ind w:firstLine="2561" w:firstLineChars="800"/>
        <w:jc w:val="both"/>
        <w:rPr>
          <w:color w:val="auto"/>
          <w:highlight w:val="none"/>
        </w:rPr>
      </w:pPr>
      <w:r>
        <w:rPr>
          <w:rFonts w:hint="eastAsia"/>
          <w:color w:val="auto"/>
          <w:highlight w:val="none"/>
          <w:lang w:val="en-US" w:eastAsia="zh-CN"/>
        </w:rPr>
        <w:t xml:space="preserve">第五章  </w:t>
      </w:r>
      <w:r>
        <w:rPr>
          <w:rFonts w:hint="eastAsia"/>
          <w:color w:val="auto"/>
          <w:highlight w:val="none"/>
        </w:rPr>
        <w:t xml:space="preserve">政府采购合同主要条款 </w:t>
      </w:r>
    </w:p>
    <w:p w14:paraId="1CA2D9D3">
      <w:pPr>
        <w:spacing w:line="360" w:lineRule="auto"/>
        <w:jc w:val="center"/>
        <w:outlineLvl w:val="2"/>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rPr>
        <w:t>货物类合同条款</w:t>
      </w:r>
    </w:p>
    <w:p w14:paraId="3EEA577B">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第一部分 合同书</w:t>
      </w:r>
    </w:p>
    <w:p w14:paraId="0B512F4C">
      <w:pPr>
        <w:spacing w:line="480" w:lineRule="auto"/>
        <w:jc w:val="center"/>
        <w:rPr>
          <w:rFonts w:asciiTheme="minorEastAsia" w:hAnsiTheme="minorEastAsia" w:eastAsiaTheme="minorEastAsia"/>
          <w:b/>
          <w:color w:val="auto"/>
          <w:sz w:val="24"/>
          <w:highlight w:val="none"/>
        </w:rPr>
      </w:pPr>
    </w:p>
    <w:p w14:paraId="7BABDBA7">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项目名称：______________________________</w:t>
      </w:r>
      <w:r>
        <w:rPr>
          <w:rFonts w:hint="eastAsia" w:asciiTheme="minorEastAsia" w:hAnsiTheme="minorEastAsia" w:eastAsiaTheme="minorEastAsia"/>
          <w:color w:val="auto"/>
          <w:sz w:val="24"/>
          <w:highlight w:val="none"/>
          <w:lang w:val="en-US" w:eastAsia="zh-CN"/>
        </w:rPr>
        <w:t xml:space="preserve"> </w:t>
      </w:r>
      <w:r>
        <w:rPr>
          <w:rFonts w:hint="eastAsia" w:asciiTheme="minorEastAsia" w:hAnsiTheme="minorEastAsia" w:eastAsiaTheme="minorEastAsia"/>
          <w:color w:val="auto"/>
          <w:sz w:val="24"/>
          <w:highlight w:val="none"/>
        </w:rPr>
        <w:t>_______________</w:t>
      </w:r>
    </w:p>
    <w:p w14:paraId="5CB8EACF">
      <w:pPr>
        <w:spacing w:before="120" w:line="480" w:lineRule="auto"/>
        <w:ind w:left="960"/>
        <w:rPr>
          <w:rFonts w:asciiTheme="minorEastAsia" w:hAnsiTheme="minorEastAsia" w:eastAsiaTheme="minorEastAsia"/>
          <w:color w:val="auto"/>
          <w:sz w:val="24"/>
          <w:highlight w:val="none"/>
        </w:rPr>
      </w:pPr>
    </w:p>
    <w:p w14:paraId="236E8020">
      <w:pPr>
        <w:spacing w:before="120" w:line="480" w:lineRule="auto"/>
        <w:ind w:left="960"/>
        <w:rPr>
          <w:rFonts w:asciiTheme="minorEastAsia" w:hAnsiTheme="minorEastAsia" w:eastAsiaTheme="minorEastAsia"/>
          <w:color w:val="auto"/>
          <w:sz w:val="24"/>
          <w:highlight w:val="none"/>
        </w:rPr>
      </w:pPr>
    </w:p>
    <w:p w14:paraId="1E047805">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27E516D2">
      <w:pPr>
        <w:spacing w:before="120" w:line="480" w:lineRule="auto"/>
        <w:ind w:left="960"/>
        <w:rPr>
          <w:rFonts w:asciiTheme="minorEastAsia" w:hAnsiTheme="minorEastAsia" w:eastAsiaTheme="minorEastAsia"/>
          <w:color w:val="auto"/>
          <w:sz w:val="24"/>
          <w:highlight w:val="none"/>
        </w:rPr>
      </w:pPr>
    </w:p>
    <w:p w14:paraId="4708D545">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乙方（成交人）：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p>
    <w:p w14:paraId="3E76C6EF">
      <w:pPr>
        <w:spacing w:before="120" w:line="480" w:lineRule="auto"/>
        <w:ind w:firstLine="960" w:firstLineChars="400"/>
        <w:rPr>
          <w:rFonts w:asciiTheme="minorEastAsia" w:hAnsiTheme="minorEastAsia" w:eastAsiaTheme="minorEastAsia"/>
          <w:color w:val="auto"/>
          <w:sz w:val="24"/>
          <w:highlight w:val="none"/>
        </w:rPr>
      </w:pPr>
    </w:p>
    <w:p w14:paraId="7659AB1C">
      <w:pPr>
        <w:spacing w:before="120" w:line="480" w:lineRule="auto"/>
        <w:rPr>
          <w:rFonts w:asciiTheme="minorEastAsia" w:hAnsiTheme="minorEastAsia" w:eastAsiaTheme="minorEastAsia"/>
          <w:color w:val="auto"/>
          <w:sz w:val="24"/>
          <w:highlight w:val="none"/>
        </w:rPr>
      </w:pPr>
    </w:p>
    <w:p w14:paraId="2755C8A9">
      <w:pPr>
        <w:pStyle w:val="8"/>
        <w:tabs>
          <w:tab w:val="left" w:pos="2730"/>
        </w:tabs>
        <w:rPr>
          <w:rFonts w:asciiTheme="minorEastAsia" w:hAnsiTheme="minorEastAsia" w:eastAsiaTheme="minorEastAsia"/>
          <w:color w:val="auto"/>
          <w:sz w:val="24"/>
          <w:highlight w:val="none"/>
        </w:rPr>
      </w:pPr>
    </w:p>
    <w:p w14:paraId="52592BCC">
      <w:pPr>
        <w:rPr>
          <w:color w:val="auto"/>
          <w:highlight w:val="none"/>
        </w:rPr>
      </w:pPr>
    </w:p>
    <w:p w14:paraId="1C21AA19">
      <w:pPr>
        <w:spacing w:before="120" w:line="480" w:lineRule="auto"/>
        <w:ind w:firstLine="960" w:firstLineChars="400"/>
        <w:rPr>
          <w:rFonts w:asciiTheme="minorEastAsia" w:hAnsiTheme="minorEastAsia" w:eastAsiaTheme="minorEastAsia"/>
          <w:color w:val="auto"/>
          <w:sz w:val="24"/>
          <w:highlight w:val="none"/>
        </w:rPr>
      </w:pPr>
    </w:p>
    <w:p w14:paraId="709FB326">
      <w:pPr>
        <w:spacing w:before="120" w:line="480" w:lineRule="auto"/>
        <w:ind w:firstLine="1680" w:firstLineChars="70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32731604">
      <w:pPr>
        <w:spacing w:before="120" w:line="480" w:lineRule="auto"/>
        <w:ind w:firstLine="960" w:firstLineChars="400"/>
        <w:rPr>
          <w:rFonts w:asciiTheme="minorEastAsia" w:hAnsiTheme="minorEastAsia" w:eastAsiaTheme="minorEastAsia"/>
          <w:color w:val="auto"/>
          <w:sz w:val="24"/>
          <w:highlight w:val="none"/>
        </w:rPr>
      </w:pPr>
    </w:p>
    <w:p w14:paraId="5178D9B8">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4CBA2F3E">
      <w:pPr>
        <w:pStyle w:val="47"/>
        <w:rPr>
          <w:color w:val="auto"/>
          <w:highlight w:val="none"/>
        </w:rPr>
      </w:pPr>
    </w:p>
    <w:p w14:paraId="03A23175">
      <w:pPr>
        <w:spacing w:line="360" w:lineRule="auto"/>
        <w:rPr>
          <w:rFonts w:hint="eastAsia" w:asciiTheme="minorEastAsia" w:hAnsiTheme="minorEastAsia" w:eastAsiaTheme="minorEastAsia"/>
          <w:color w:val="auto"/>
          <w:sz w:val="24"/>
          <w:highlight w:val="none"/>
        </w:rPr>
      </w:pPr>
    </w:p>
    <w:p w14:paraId="3C581B32">
      <w:pPr>
        <w:spacing w:line="360" w:lineRule="auto"/>
        <w:ind w:firstLine="435"/>
        <w:rPr>
          <w:rFonts w:hint="eastAsia" w:asciiTheme="minorEastAsia" w:hAnsiTheme="minorEastAsia" w:eastAsiaTheme="minorEastAsia"/>
          <w:color w:val="auto"/>
          <w:sz w:val="24"/>
          <w:highlight w:val="none"/>
        </w:rPr>
      </w:pPr>
    </w:p>
    <w:p w14:paraId="7D6D1F32">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rPr>
        <w:t>根据《中华人民共和国民法典</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中华人民共和国政府采购法》等相关法律法规的规定，按照平等、自愿、公平和诚实信用的原则，经甲方和乙方协商一致，约定下述合同条款，以共同遵守并全面履行。</w:t>
      </w:r>
    </w:p>
    <w:p w14:paraId="796326FF">
      <w:pPr>
        <w:spacing w:line="360" w:lineRule="auto"/>
        <w:ind w:firstLine="437"/>
        <w:outlineLvl w:val="3"/>
        <w:rPr>
          <w:rFonts w:asciiTheme="minorEastAsia" w:hAnsiTheme="minorEastAsia" w:eastAsiaTheme="minorEastAsia"/>
          <w:b/>
          <w:bCs/>
          <w:color w:val="auto"/>
          <w:sz w:val="24"/>
          <w:highlight w:val="none"/>
          <w:lang w:val="zh-CN"/>
        </w:rPr>
      </w:pPr>
      <w:bookmarkStart w:id="82" w:name="_Toc24059"/>
      <w:bookmarkStart w:id="83" w:name="_Toc2232"/>
      <w:bookmarkStart w:id="84" w:name="_Toc3029"/>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82"/>
      <w:bookmarkEnd w:id="83"/>
      <w:bookmarkEnd w:id="84"/>
    </w:p>
    <w:p w14:paraId="36E02797">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004F6FF4">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14:paraId="60CDA902">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w:t>
      </w:r>
      <w:r>
        <w:rPr>
          <w:rFonts w:hint="eastAsia" w:asciiTheme="minorEastAsia" w:hAnsiTheme="minorEastAsia" w:eastAsiaTheme="minorEastAsia"/>
          <w:strike w:val="0"/>
          <w:dstrike w:val="0"/>
          <w:color w:val="auto"/>
          <w:sz w:val="24"/>
          <w:highlight w:val="none"/>
          <w:lang w:val="zh-CN"/>
        </w:rPr>
        <w:t>成交</w:t>
      </w:r>
      <w:r>
        <w:rPr>
          <w:rFonts w:hint="eastAsia" w:asciiTheme="minorEastAsia" w:hAnsiTheme="minorEastAsia" w:eastAsiaTheme="minorEastAsia"/>
          <w:color w:val="auto"/>
          <w:sz w:val="24"/>
          <w:highlight w:val="none"/>
          <w:lang w:val="zh-CN"/>
        </w:rPr>
        <w:t>通知书；</w:t>
      </w:r>
    </w:p>
    <w:p w14:paraId="5AABCADC">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14:paraId="58932D81">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w:t>
      </w:r>
      <w:r>
        <w:rPr>
          <w:rFonts w:hint="eastAsia" w:asciiTheme="minorEastAsia" w:hAnsiTheme="minorEastAsia" w:eastAsiaTheme="minorEastAsia"/>
          <w:color w:val="auto"/>
          <w:sz w:val="24"/>
          <w:highlight w:val="none"/>
          <w:lang w:val="en-US" w:eastAsia="zh-CN"/>
        </w:rPr>
        <w:t>竞争性</w:t>
      </w:r>
      <w:r>
        <w:rPr>
          <w:rFonts w:hint="eastAsia" w:asciiTheme="minorEastAsia" w:hAnsiTheme="minorEastAsia" w:eastAsiaTheme="minorEastAsia"/>
          <w:color w:val="auto"/>
          <w:sz w:val="24"/>
          <w:highlight w:val="none"/>
          <w:lang w:val="zh-CN"/>
        </w:rPr>
        <w:t>谈判文件（含澄清或者修改文件）；</w:t>
      </w:r>
    </w:p>
    <w:p w14:paraId="180CB2E0">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14:paraId="3759E2F1">
      <w:pPr>
        <w:spacing w:line="360" w:lineRule="auto"/>
        <w:ind w:firstLine="437"/>
        <w:outlineLvl w:val="3"/>
        <w:rPr>
          <w:rFonts w:asciiTheme="minorEastAsia" w:hAnsiTheme="minorEastAsia" w:eastAsiaTheme="minorEastAsia"/>
          <w:b/>
          <w:bCs/>
          <w:color w:val="auto"/>
          <w:sz w:val="24"/>
          <w:highlight w:val="none"/>
          <w:lang w:val="zh-CN"/>
        </w:rPr>
      </w:pPr>
      <w:bookmarkStart w:id="85" w:name="_Toc21295"/>
      <w:bookmarkStart w:id="86" w:name="_Toc27126"/>
      <w:bookmarkStart w:id="87" w:name="_Toc24300"/>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货物</w:t>
      </w:r>
      <w:bookmarkEnd w:id="85"/>
      <w:bookmarkEnd w:id="86"/>
      <w:bookmarkEnd w:id="87"/>
    </w:p>
    <w:tbl>
      <w:tblPr>
        <w:tblStyle w:val="132"/>
        <w:tblW w:w="88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5"/>
        <w:gridCol w:w="1651"/>
        <w:gridCol w:w="1651"/>
        <w:gridCol w:w="1647"/>
        <w:gridCol w:w="1647"/>
        <w:gridCol w:w="1183"/>
      </w:tblGrid>
      <w:tr w14:paraId="08BA7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559765AD">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序号</w:t>
            </w:r>
          </w:p>
        </w:tc>
        <w:tc>
          <w:tcPr>
            <w:tcW w:w="1651" w:type="dxa"/>
            <w:vAlign w:val="center"/>
          </w:tcPr>
          <w:p w14:paraId="1B9120DE">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货物名称</w:t>
            </w:r>
          </w:p>
        </w:tc>
        <w:tc>
          <w:tcPr>
            <w:tcW w:w="1651" w:type="dxa"/>
            <w:vAlign w:val="center"/>
          </w:tcPr>
          <w:p w14:paraId="61EAF260">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规格型号</w:t>
            </w:r>
          </w:p>
        </w:tc>
        <w:tc>
          <w:tcPr>
            <w:tcW w:w="1647" w:type="dxa"/>
            <w:vAlign w:val="center"/>
          </w:tcPr>
          <w:p w14:paraId="33218339">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单位</w:t>
            </w:r>
          </w:p>
        </w:tc>
        <w:tc>
          <w:tcPr>
            <w:tcW w:w="1647" w:type="dxa"/>
            <w:vAlign w:val="center"/>
          </w:tcPr>
          <w:p w14:paraId="0898DDA3">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数量</w:t>
            </w:r>
          </w:p>
        </w:tc>
        <w:tc>
          <w:tcPr>
            <w:tcW w:w="1183" w:type="dxa"/>
            <w:vAlign w:val="center"/>
          </w:tcPr>
          <w:p w14:paraId="158CEA78">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生产厂商</w:t>
            </w:r>
          </w:p>
        </w:tc>
      </w:tr>
      <w:tr w14:paraId="64EF9C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13F1F1CE">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1651" w:type="dxa"/>
            <w:vAlign w:val="center"/>
          </w:tcPr>
          <w:p w14:paraId="74E188C8">
            <w:pPr>
              <w:jc w:val="center"/>
              <w:rPr>
                <w:rFonts w:asciiTheme="minorEastAsia" w:hAnsiTheme="minorEastAsia" w:eastAsiaTheme="minorEastAsia"/>
                <w:color w:val="auto"/>
                <w:sz w:val="24"/>
                <w:highlight w:val="none"/>
                <w:lang w:val="zh-CN"/>
              </w:rPr>
            </w:pPr>
          </w:p>
        </w:tc>
        <w:tc>
          <w:tcPr>
            <w:tcW w:w="1651" w:type="dxa"/>
            <w:vAlign w:val="center"/>
          </w:tcPr>
          <w:p w14:paraId="09062A8C">
            <w:pPr>
              <w:jc w:val="center"/>
              <w:rPr>
                <w:rFonts w:asciiTheme="minorEastAsia" w:hAnsiTheme="minorEastAsia" w:eastAsiaTheme="minorEastAsia"/>
                <w:color w:val="auto"/>
                <w:sz w:val="24"/>
                <w:highlight w:val="none"/>
                <w:lang w:val="zh-CN"/>
              </w:rPr>
            </w:pPr>
          </w:p>
        </w:tc>
        <w:tc>
          <w:tcPr>
            <w:tcW w:w="1647" w:type="dxa"/>
            <w:vAlign w:val="center"/>
          </w:tcPr>
          <w:p w14:paraId="4D04D78A">
            <w:pPr>
              <w:jc w:val="center"/>
              <w:rPr>
                <w:rFonts w:asciiTheme="minorEastAsia" w:hAnsiTheme="minorEastAsia" w:eastAsiaTheme="minorEastAsia"/>
                <w:color w:val="auto"/>
                <w:sz w:val="24"/>
                <w:highlight w:val="none"/>
                <w:lang w:val="zh-CN"/>
              </w:rPr>
            </w:pPr>
          </w:p>
        </w:tc>
        <w:tc>
          <w:tcPr>
            <w:tcW w:w="1647" w:type="dxa"/>
            <w:vAlign w:val="center"/>
          </w:tcPr>
          <w:p w14:paraId="05446CB4">
            <w:pPr>
              <w:jc w:val="center"/>
              <w:rPr>
                <w:rFonts w:asciiTheme="minorEastAsia" w:hAnsiTheme="minorEastAsia" w:eastAsiaTheme="minorEastAsia"/>
                <w:color w:val="auto"/>
                <w:sz w:val="24"/>
                <w:highlight w:val="none"/>
                <w:lang w:val="zh-CN"/>
              </w:rPr>
            </w:pPr>
          </w:p>
        </w:tc>
        <w:tc>
          <w:tcPr>
            <w:tcW w:w="1183" w:type="dxa"/>
            <w:vAlign w:val="center"/>
          </w:tcPr>
          <w:p w14:paraId="40EFF3A1">
            <w:pPr>
              <w:jc w:val="center"/>
              <w:rPr>
                <w:rFonts w:asciiTheme="minorEastAsia" w:hAnsiTheme="minorEastAsia" w:eastAsiaTheme="minorEastAsia"/>
                <w:color w:val="auto"/>
                <w:sz w:val="24"/>
                <w:highlight w:val="none"/>
                <w:lang w:val="zh-CN"/>
              </w:rPr>
            </w:pPr>
          </w:p>
        </w:tc>
      </w:tr>
      <w:tr w14:paraId="18793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658E9CCB">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1651" w:type="dxa"/>
            <w:vAlign w:val="center"/>
          </w:tcPr>
          <w:p w14:paraId="59D984CA">
            <w:pPr>
              <w:jc w:val="center"/>
              <w:rPr>
                <w:rFonts w:asciiTheme="minorEastAsia" w:hAnsiTheme="minorEastAsia" w:eastAsiaTheme="minorEastAsia"/>
                <w:color w:val="auto"/>
                <w:sz w:val="24"/>
                <w:highlight w:val="none"/>
                <w:lang w:val="zh-CN"/>
              </w:rPr>
            </w:pPr>
          </w:p>
        </w:tc>
        <w:tc>
          <w:tcPr>
            <w:tcW w:w="1651" w:type="dxa"/>
            <w:vAlign w:val="center"/>
          </w:tcPr>
          <w:p w14:paraId="7B0AB959">
            <w:pPr>
              <w:jc w:val="center"/>
              <w:rPr>
                <w:rFonts w:asciiTheme="minorEastAsia" w:hAnsiTheme="minorEastAsia" w:eastAsiaTheme="minorEastAsia"/>
                <w:color w:val="auto"/>
                <w:sz w:val="24"/>
                <w:highlight w:val="none"/>
                <w:lang w:val="zh-CN"/>
              </w:rPr>
            </w:pPr>
          </w:p>
        </w:tc>
        <w:tc>
          <w:tcPr>
            <w:tcW w:w="1647" w:type="dxa"/>
            <w:vAlign w:val="center"/>
          </w:tcPr>
          <w:p w14:paraId="25B0B0E6">
            <w:pPr>
              <w:jc w:val="center"/>
              <w:rPr>
                <w:rFonts w:asciiTheme="minorEastAsia" w:hAnsiTheme="minorEastAsia" w:eastAsiaTheme="minorEastAsia"/>
                <w:color w:val="auto"/>
                <w:sz w:val="24"/>
                <w:highlight w:val="none"/>
                <w:lang w:val="zh-CN"/>
              </w:rPr>
            </w:pPr>
          </w:p>
        </w:tc>
        <w:tc>
          <w:tcPr>
            <w:tcW w:w="1647" w:type="dxa"/>
            <w:vAlign w:val="center"/>
          </w:tcPr>
          <w:p w14:paraId="10D97229">
            <w:pPr>
              <w:jc w:val="center"/>
              <w:rPr>
                <w:rFonts w:asciiTheme="minorEastAsia" w:hAnsiTheme="minorEastAsia" w:eastAsiaTheme="minorEastAsia"/>
                <w:color w:val="auto"/>
                <w:sz w:val="24"/>
                <w:highlight w:val="none"/>
                <w:lang w:val="zh-CN"/>
              </w:rPr>
            </w:pPr>
          </w:p>
        </w:tc>
        <w:tc>
          <w:tcPr>
            <w:tcW w:w="1183" w:type="dxa"/>
            <w:vAlign w:val="center"/>
          </w:tcPr>
          <w:p w14:paraId="5D71A1C9">
            <w:pPr>
              <w:jc w:val="center"/>
              <w:rPr>
                <w:rFonts w:asciiTheme="minorEastAsia" w:hAnsiTheme="minorEastAsia" w:eastAsiaTheme="minorEastAsia"/>
                <w:color w:val="auto"/>
                <w:sz w:val="24"/>
                <w:highlight w:val="none"/>
                <w:lang w:val="zh-CN"/>
              </w:rPr>
            </w:pPr>
          </w:p>
        </w:tc>
      </w:tr>
      <w:tr w14:paraId="2516F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4D7B410E">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1651" w:type="dxa"/>
            <w:vAlign w:val="center"/>
          </w:tcPr>
          <w:p w14:paraId="61561DD3">
            <w:pPr>
              <w:jc w:val="center"/>
              <w:rPr>
                <w:rFonts w:asciiTheme="minorEastAsia" w:hAnsiTheme="minorEastAsia" w:eastAsiaTheme="minorEastAsia"/>
                <w:color w:val="auto"/>
                <w:sz w:val="24"/>
                <w:highlight w:val="none"/>
                <w:lang w:val="zh-CN"/>
              </w:rPr>
            </w:pPr>
          </w:p>
        </w:tc>
        <w:tc>
          <w:tcPr>
            <w:tcW w:w="1651" w:type="dxa"/>
            <w:vAlign w:val="center"/>
          </w:tcPr>
          <w:p w14:paraId="7D8673C0">
            <w:pPr>
              <w:jc w:val="center"/>
              <w:rPr>
                <w:rFonts w:asciiTheme="minorEastAsia" w:hAnsiTheme="minorEastAsia" w:eastAsiaTheme="minorEastAsia"/>
                <w:color w:val="auto"/>
                <w:sz w:val="24"/>
                <w:highlight w:val="none"/>
                <w:lang w:val="zh-CN"/>
              </w:rPr>
            </w:pPr>
          </w:p>
        </w:tc>
        <w:tc>
          <w:tcPr>
            <w:tcW w:w="1647" w:type="dxa"/>
            <w:vAlign w:val="center"/>
          </w:tcPr>
          <w:p w14:paraId="407F0DA4">
            <w:pPr>
              <w:jc w:val="center"/>
              <w:rPr>
                <w:rFonts w:asciiTheme="minorEastAsia" w:hAnsiTheme="minorEastAsia" w:eastAsiaTheme="minorEastAsia"/>
                <w:color w:val="auto"/>
                <w:sz w:val="24"/>
                <w:highlight w:val="none"/>
                <w:lang w:val="zh-CN"/>
              </w:rPr>
            </w:pPr>
          </w:p>
        </w:tc>
        <w:tc>
          <w:tcPr>
            <w:tcW w:w="1647" w:type="dxa"/>
            <w:vAlign w:val="center"/>
          </w:tcPr>
          <w:p w14:paraId="4D01B2C5">
            <w:pPr>
              <w:jc w:val="center"/>
              <w:rPr>
                <w:rFonts w:asciiTheme="minorEastAsia" w:hAnsiTheme="minorEastAsia" w:eastAsiaTheme="minorEastAsia"/>
                <w:color w:val="auto"/>
                <w:sz w:val="24"/>
                <w:highlight w:val="none"/>
                <w:lang w:val="zh-CN"/>
              </w:rPr>
            </w:pPr>
          </w:p>
        </w:tc>
        <w:tc>
          <w:tcPr>
            <w:tcW w:w="1183" w:type="dxa"/>
            <w:vAlign w:val="center"/>
          </w:tcPr>
          <w:p w14:paraId="419D6B1D">
            <w:pPr>
              <w:jc w:val="center"/>
              <w:rPr>
                <w:rFonts w:asciiTheme="minorEastAsia" w:hAnsiTheme="minorEastAsia" w:eastAsiaTheme="minorEastAsia"/>
                <w:color w:val="auto"/>
                <w:sz w:val="24"/>
                <w:highlight w:val="none"/>
                <w:lang w:val="zh-CN"/>
              </w:rPr>
            </w:pPr>
          </w:p>
        </w:tc>
      </w:tr>
      <w:tr w14:paraId="4EBAF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3CDCED82">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1651" w:type="dxa"/>
            <w:vAlign w:val="center"/>
          </w:tcPr>
          <w:p w14:paraId="6821D8DF">
            <w:pPr>
              <w:jc w:val="center"/>
              <w:rPr>
                <w:rFonts w:asciiTheme="minorEastAsia" w:hAnsiTheme="minorEastAsia" w:eastAsiaTheme="minorEastAsia"/>
                <w:color w:val="auto"/>
                <w:sz w:val="24"/>
                <w:highlight w:val="none"/>
                <w:lang w:val="zh-CN"/>
              </w:rPr>
            </w:pPr>
          </w:p>
        </w:tc>
        <w:tc>
          <w:tcPr>
            <w:tcW w:w="1651" w:type="dxa"/>
            <w:vAlign w:val="center"/>
          </w:tcPr>
          <w:p w14:paraId="287958A7">
            <w:pPr>
              <w:jc w:val="center"/>
              <w:rPr>
                <w:rFonts w:asciiTheme="minorEastAsia" w:hAnsiTheme="minorEastAsia" w:eastAsiaTheme="minorEastAsia"/>
                <w:color w:val="auto"/>
                <w:sz w:val="24"/>
                <w:highlight w:val="none"/>
                <w:lang w:val="zh-CN"/>
              </w:rPr>
            </w:pPr>
          </w:p>
        </w:tc>
        <w:tc>
          <w:tcPr>
            <w:tcW w:w="1647" w:type="dxa"/>
            <w:vAlign w:val="center"/>
          </w:tcPr>
          <w:p w14:paraId="7B61804A">
            <w:pPr>
              <w:jc w:val="center"/>
              <w:rPr>
                <w:rFonts w:asciiTheme="minorEastAsia" w:hAnsiTheme="minorEastAsia" w:eastAsiaTheme="minorEastAsia"/>
                <w:color w:val="auto"/>
                <w:sz w:val="24"/>
                <w:highlight w:val="none"/>
                <w:lang w:val="zh-CN"/>
              </w:rPr>
            </w:pPr>
          </w:p>
        </w:tc>
        <w:tc>
          <w:tcPr>
            <w:tcW w:w="1647" w:type="dxa"/>
            <w:vAlign w:val="center"/>
          </w:tcPr>
          <w:p w14:paraId="4311CA16">
            <w:pPr>
              <w:jc w:val="center"/>
              <w:rPr>
                <w:rFonts w:asciiTheme="minorEastAsia" w:hAnsiTheme="minorEastAsia" w:eastAsiaTheme="minorEastAsia"/>
                <w:color w:val="auto"/>
                <w:sz w:val="24"/>
                <w:highlight w:val="none"/>
                <w:lang w:val="zh-CN"/>
              </w:rPr>
            </w:pPr>
          </w:p>
        </w:tc>
        <w:tc>
          <w:tcPr>
            <w:tcW w:w="1183" w:type="dxa"/>
            <w:vAlign w:val="center"/>
          </w:tcPr>
          <w:p w14:paraId="75259693">
            <w:pPr>
              <w:jc w:val="center"/>
              <w:rPr>
                <w:rFonts w:asciiTheme="minorEastAsia" w:hAnsiTheme="minorEastAsia" w:eastAsiaTheme="minorEastAsia"/>
                <w:color w:val="auto"/>
                <w:sz w:val="24"/>
                <w:highlight w:val="none"/>
                <w:lang w:val="zh-CN"/>
              </w:rPr>
            </w:pPr>
          </w:p>
        </w:tc>
      </w:tr>
    </w:tbl>
    <w:p w14:paraId="7FD1DA6B">
      <w:pPr>
        <w:spacing w:line="360" w:lineRule="auto"/>
        <w:ind w:firstLine="437"/>
        <w:outlineLvl w:val="3"/>
        <w:rPr>
          <w:rFonts w:asciiTheme="minorEastAsia" w:hAnsiTheme="minorEastAsia" w:eastAsiaTheme="minorEastAsia"/>
          <w:b/>
          <w:bCs/>
          <w:color w:val="auto"/>
          <w:sz w:val="24"/>
          <w:highlight w:val="none"/>
          <w:lang w:val="zh-CN"/>
        </w:rPr>
      </w:pPr>
      <w:bookmarkStart w:id="88" w:name="_Toc23292"/>
      <w:bookmarkStart w:id="89" w:name="_Toc21551"/>
      <w:bookmarkStart w:id="90" w:name="_Toc21631"/>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88"/>
      <w:bookmarkEnd w:id="89"/>
      <w:bookmarkEnd w:id="90"/>
    </w:p>
    <w:p w14:paraId="6B0646EB">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本合同总价为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元</w:t>
      </w:r>
      <w:r>
        <w:rPr>
          <w:rFonts w:hint="eastAsia" w:asciiTheme="minorEastAsia" w:hAnsiTheme="minorEastAsia" w:eastAsiaTheme="minorEastAsia"/>
          <w:color w:val="auto"/>
          <w:sz w:val="24"/>
          <w:highlight w:val="none"/>
        </w:rPr>
        <w:t>（大写：人民币</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元）</w:t>
      </w:r>
      <w:r>
        <w:rPr>
          <w:rFonts w:asciiTheme="minorEastAsia" w:hAnsiTheme="minorEastAsia" w:eastAsiaTheme="minorEastAsia"/>
          <w:color w:val="auto"/>
          <w:sz w:val="24"/>
          <w:highlight w:val="none"/>
        </w:rPr>
        <w:t>。</w:t>
      </w:r>
    </w:p>
    <w:p w14:paraId="1205BE02">
      <w:pPr>
        <w:spacing w:line="360" w:lineRule="auto"/>
        <w:ind w:firstLine="435"/>
        <w:rPr>
          <w:rFonts w:asciiTheme="minorEastAsia" w:hAnsiTheme="minorEastAsia" w:eastAsiaTheme="minorEastAsia"/>
          <w:color w:val="auto"/>
          <w:sz w:val="24"/>
          <w:highlight w:val="none"/>
          <w:u w:val="single"/>
        </w:rPr>
      </w:pPr>
      <w:r>
        <w:rPr>
          <w:rFonts w:asciiTheme="minorEastAsia" w:hAnsiTheme="minorEastAsia" w:eastAsiaTheme="minorEastAsia"/>
          <w:color w:val="auto"/>
          <w:sz w:val="24"/>
          <w:highlight w:val="none"/>
        </w:rPr>
        <w:t>分项价格：</w:t>
      </w:r>
    </w:p>
    <w:tbl>
      <w:tblPr>
        <w:tblStyle w:val="39"/>
        <w:tblW w:w="8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4447"/>
        <w:gridCol w:w="23"/>
        <w:gridCol w:w="3345"/>
      </w:tblGrid>
      <w:tr w14:paraId="63CF9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1055" w:type="dxa"/>
            <w:vAlign w:val="center"/>
          </w:tcPr>
          <w:p w14:paraId="3101AA48">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序号</w:t>
            </w:r>
          </w:p>
        </w:tc>
        <w:tc>
          <w:tcPr>
            <w:tcW w:w="4447" w:type="dxa"/>
            <w:vAlign w:val="center"/>
          </w:tcPr>
          <w:p w14:paraId="307008AC">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分项名称</w:t>
            </w:r>
          </w:p>
        </w:tc>
        <w:tc>
          <w:tcPr>
            <w:tcW w:w="3368" w:type="dxa"/>
            <w:gridSpan w:val="2"/>
            <w:vAlign w:val="center"/>
          </w:tcPr>
          <w:p w14:paraId="7AB77FF4">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分项价格</w:t>
            </w:r>
          </w:p>
        </w:tc>
      </w:tr>
      <w:tr w14:paraId="00BB1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5DF0FEC3">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4447" w:type="dxa"/>
            <w:vAlign w:val="center"/>
          </w:tcPr>
          <w:p w14:paraId="1C2B2CEE">
            <w:pPr>
              <w:ind w:firstLine="200"/>
              <w:jc w:val="center"/>
              <w:rPr>
                <w:rFonts w:asciiTheme="minorEastAsia" w:hAnsiTheme="minorEastAsia" w:eastAsiaTheme="minorEastAsia"/>
                <w:color w:val="auto"/>
                <w:sz w:val="24"/>
                <w:highlight w:val="none"/>
              </w:rPr>
            </w:pPr>
          </w:p>
        </w:tc>
        <w:tc>
          <w:tcPr>
            <w:tcW w:w="3368" w:type="dxa"/>
            <w:gridSpan w:val="2"/>
            <w:vAlign w:val="center"/>
          </w:tcPr>
          <w:p w14:paraId="5865DA7A">
            <w:pPr>
              <w:ind w:firstLine="200"/>
              <w:jc w:val="center"/>
              <w:rPr>
                <w:rFonts w:asciiTheme="minorEastAsia" w:hAnsiTheme="minorEastAsia" w:eastAsiaTheme="minorEastAsia"/>
                <w:color w:val="auto"/>
                <w:sz w:val="24"/>
                <w:highlight w:val="none"/>
              </w:rPr>
            </w:pPr>
          </w:p>
        </w:tc>
      </w:tr>
      <w:tr w14:paraId="351C3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04420441">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4447" w:type="dxa"/>
            <w:vAlign w:val="center"/>
          </w:tcPr>
          <w:p w14:paraId="14C1CF35">
            <w:pPr>
              <w:ind w:firstLine="200"/>
              <w:jc w:val="center"/>
              <w:rPr>
                <w:rFonts w:asciiTheme="minorEastAsia" w:hAnsiTheme="minorEastAsia" w:eastAsiaTheme="minorEastAsia"/>
                <w:color w:val="auto"/>
                <w:sz w:val="24"/>
                <w:highlight w:val="none"/>
              </w:rPr>
            </w:pPr>
          </w:p>
        </w:tc>
        <w:tc>
          <w:tcPr>
            <w:tcW w:w="3368" w:type="dxa"/>
            <w:gridSpan w:val="2"/>
            <w:vAlign w:val="center"/>
          </w:tcPr>
          <w:p w14:paraId="34C9F82B">
            <w:pPr>
              <w:ind w:firstLine="200"/>
              <w:jc w:val="center"/>
              <w:rPr>
                <w:rFonts w:asciiTheme="minorEastAsia" w:hAnsiTheme="minorEastAsia" w:eastAsiaTheme="minorEastAsia"/>
                <w:color w:val="auto"/>
                <w:sz w:val="24"/>
                <w:highlight w:val="none"/>
              </w:rPr>
            </w:pPr>
          </w:p>
        </w:tc>
      </w:tr>
      <w:tr w14:paraId="75D6D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323C80B2">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4447" w:type="dxa"/>
            <w:vAlign w:val="center"/>
          </w:tcPr>
          <w:p w14:paraId="2F403467">
            <w:pPr>
              <w:ind w:firstLine="200"/>
              <w:jc w:val="center"/>
              <w:rPr>
                <w:rFonts w:asciiTheme="minorEastAsia" w:hAnsiTheme="minorEastAsia" w:eastAsiaTheme="minorEastAsia"/>
                <w:color w:val="auto"/>
                <w:sz w:val="24"/>
                <w:highlight w:val="none"/>
              </w:rPr>
            </w:pPr>
          </w:p>
        </w:tc>
        <w:tc>
          <w:tcPr>
            <w:tcW w:w="3368" w:type="dxa"/>
            <w:gridSpan w:val="2"/>
            <w:vAlign w:val="center"/>
          </w:tcPr>
          <w:p w14:paraId="3D2EBB24">
            <w:pPr>
              <w:ind w:firstLine="200"/>
              <w:jc w:val="center"/>
              <w:rPr>
                <w:rFonts w:asciiTheme="minorEastAsia" w:hAnsiTheme="minorEastAsia" w:eastAsiaTheme="minorEastAsia"/>
                <w:color w:val="auto"/>
                <w:sz w:val="24"/>
                <w:highlight w:val="none"/>
              </w:rPr>
            </w:pPr>
          </w:p>
        </w:tc>
      </w:tr>
      <w:tr w14:paraId="766F81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1B40AF81">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4447" w:type="dxa"/>
            <w:vAlign w:val="center"/>
          </w:tcPr>
          <w:p w14:paraId="58035A8C">
            <w:pPr>
              <w:ind w:firstLine="200"/>
              <w:jc w:val="center"/>
              <w:rPr>
                <w:rFonts w:asciiTheme="minorEastAsia" w:hAnsiTheme="minorEastAsia" w:eastAsiaTheme="minorEastAsia"/>
                <w:color w:val="auto"/>
                <w:sz w:val="24"/>
                <w:highlight w:val="none"/>
              </w:rPr>
            </w:pPr>
          </w:p>
        </w:tc>
        <w:tc>
          <w:tcPr>
            <w:tcW w:w="3368" w:type="dxa"/>
            <w:gridSpan w:val="2"/>
            <w:vAlign w:val="center"/>
          </w:tcPr>
          <w:p w14:paraId="6344610C">
            <w:pPr>
              <w:ind w:firstLine="200"/>
              <w:jc w:val="center"/>
              <w:rPr>
                <w:rFonts w:asciiTheme="minorEastAsia" w:hAnsiTheme="minorEastAsia" w:eastAsiaTheme="minorEastAsia"/>
                <w:color w:val="auto"/>
                <w:sz w:val="24"/>
                <w:highlight w:val="none"/>
              </w:rPr>
            </w:pPr>
          </w:p>
        </w:tc>
      </w:tr>
      <w:tr w14:paraId="5977F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525" w:type="dxa"/>
            <w:gridSpan w:val="3"/>
            <w:vAlign w:val="center"/>
          </w:tcPr>
          <w:p w14:paraId="6FB52E47">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总价</w:t>
            </w:r>
          </w:p>
        </w:tc>
        <w:tc>
          <w:tcPr>
            <w:tcW w:w="3345" w:type="dxa"/>
            <w:vAlign w:val="center"/>
          </w:tcPr>
          <w:p w14:paraId="1F162A3D">
            <w:pPr>
              <w:ind w:firstLine="200"/>
              <w:jc w:val="center"/>
              <w:rPr>
                <w:rFonts w:asciiTheme="minorEastAsia" w:hAnsiTheme="minorEastAsia" w:eastAsiaTheme="minorEastAsia"/>
                <w:color w:val="auto"/>
                <w:sz w:val="24"/>
                <w:highlight w:val="none"/>
              </w:rPr>
            </w:pPr>
          </w:p>
        </w:tc>
      </w:tr>
    </w:tbl>
    <w:p w14:paraId="28F4319E">
      <w:pPr>
        <w:spacing w:line="360" w:lineRule="auto"/>
        <w:ind w:firstLine="437"/>
        <w:outlineLvl w:val="3"/>
        <w:rPr>
          <w:rFonts w:asciiTheme="minorEastAsia" w:hAnsiTheme="minorEastAsia" w:eastAsiaTheme="minorEastAsia"/>
          <w:b/>
          <w:bCs/>
          <w:color w:val="auto"/>
          <w:sz w:val="24"/>
          <w:highlight w:val="none"/>
          <w:lang w:val="zh-CN"/>
        </w:rPr>
      </w:pPr>
      <w:bookmarkStart w:id="91" w:name="_Toc10340"/>
      <w:bookmarkStart w:id="92" w:name="_Toc22618"/>
      <w:bookmarkStart w:id="93" w:name="_Toc1814"/>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91"/>
      <w:bookmarkEnd w:id="92"/>
      <w:bookmarkEnd w:id="93"/>
    </w:p>
    <w:p w14:paraId="51EE01F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1E12EA1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1DBE13DE">
      <w:pPr>
        <w:spacing w:line="360" w:lineRule="auto"/>
        <w:ind w:firstLine="437"/>
        <w:outlineLvl w:val="3"/>
        <w:rPr>
          <w:rFonts w:asciiTheme="minorEastAsia" w:hAnsiTheme="minorEastAsia" w:eastAsiaTheme="minorEastAsia"/>
          <w:b/>
          <w:bCs/>
          <w:color w:val="auto"/>
          <w:sz w:val="24"/>
          <w:highlight w:val="none"/>
          <w:lang w:val="zh-CN"/>
        </w:rPr>
      </w:pPr>
      <w:bookmarkStart w:id="94" w:name="_Toc32071"/>
      <w:bookmarkStart w:id="95" w:name="_Toc19304"/>
      <w:bookmarkStart w:id="96" w:name="_Toc2846"/>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5 货物交付期限</w:t>
      </w:r>
      <w:r>
        <w:rPr>
          <w:rFonts w:hint="eastAsia" w:asciiTheme="minorEastAsia" w:hAnsiTheme="minorEastAsia" w:eastAsiaTheme="minorEastAsia"/>
          <w:b/>
          <w:bCs/>
          <w:color w:val="auto"/>
          <w:sz w:val="24"/>
          <w:highlight w:val="none"/>
          <w:lang w:val="zh-CN"/>
        </w:rPr>
        <w:t>、地点和方式</w:t>
      </w:r>
      <w:bookmarkEnd w:id="94"/>
      <w:bookmarkEnd w:id="95"/>
      <w:bookmarkEnd w:id="96"/>
    </w:p>
    <w:p w14:paraId="6F8FDAFE">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1.5.1交付期限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1260617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1.5.2交付地点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10B4EC0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1.5.3交付方式：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2E9FCD8">
      <w:pPr>
        <w:spacing w:line="360" w:lineRule="auto"/>
        <w:ind w:firstLine="437"/>
        <w:outlineLvl w:val="3"/>
        <w:rPr>
          <w:rFonts w:asciiTheme="minorEastAsia" w:hAnsiTheme="minorEastAsia" w:eastAsiaTheme="minorEastAsia"/>
          <w:b/>
          <w:bCs/>
          <w:color w:val="auto"/>
          <w:sz w:val="24"/>
          <w:highlight w:val="none"/>
          <w:lang w:val="zh-CN"/>
        </w:rPr>
      </w:pPr>
      <w:bookmarkStart w:id="97" w:name="_Toc21423"/>
      <w:bookmarkStart w:id="98" w:name="_Toc19554"/>
      <w:bookmarkStart w:id="99" w:name="_Toc27250"/>
      <w:r>
        <w:rPr>
          <w:rFonts w:hint="eastAsia" w:asciiTheme="minorEastAsia" w:hAnsiTheme="minorEastAsia" w:eastAsiaTheme="minorEastAsia"/>
          <w:b/>
          <w:bCs/>
          <w:color w:val="auto"/>
          <w:sz w:val="24"/>
          <w:highlight w:val="none"/>
          <w:lang w:val="zh-CN"/>
        </w:rPr>
        <w:t>1.6 违约责任</w:t>
      </w:r>
      <w:bookmarkEnd w:id="97"/>
      <w:bookmarkEnd w:id="98"/>
      <w:bookmarkEnd w:id="99"/>
    </w:p>
    <w:p w14:paraId="1423DB69">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1.6.1</w:t>
      </w:r>
      <w:r>
        <w:rPr>
          <w:rFonts w:asciiTheme="minorEastAsia" w:hAnsiTheme="minorEastAsia" w:eastAsiaTheme="minorEastAsia"/>
          <w:color w:val="auto"/>
          <w:sz w:val="24"/>
          <w:highlight w:val="none"/>
        </w:rPr>
        <w:t>除不可抗力外，如果乙方没有按照本合同约定的期限</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地点和方式交付货物，那么甲方可要求乙方支付违约金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违约金按每迟延交付货物一日的应交付而未交付货物价格的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迟延交付货物的违约金计算数额达到前述最高限额之日起</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甲方有权在要求乙方支付违约金的同时</w:t>
      </w:r>
      <w:r>
        <w:rPr>
          <w:rFonts w:hint="eastAsia" w:asciiTheme="minorEastAsia" w:hAnsiTheme="minorEastAsia" w:eastAsiaTheme="minorEastAsia"/>
          <w:color w:val="auto"/>
          <w:sz w:val="24"/>
          <w:highlight w:val="none"/>
        </w:rPr>
        <w:t>，书面通知乙方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6A88CAA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68254A2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3581280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6571315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63B00234">
      <w:pPr>
        <w:spacing w:line="360" w:lineRule="auto"/>
        <w:ind w:firstLine="437"/>
        <w:outlineLvl w:val="3"/>
        <w:rPr>
          <w:rFonts w:asciiTheme="minorEastAsia" w:hAnsiTheme="minorEastAsia" w:eastAsiaTheme="minorEastAsia"/>
          <w:b/>
          <w:bCs/>
          <w:color w:val="auto"/>
          <w:sz w:val="24"/>
          <w:highlight w:val="none"/>
          <w:lang w:val="zh-CN"/>
        </w:rPr>
      </w:pPr>
      <w:bookmarkStart w:id="100" w:name="_Toc16021"/>
      <w:bookmarkStart w:id="101" w:name="_Toc15583"/>
      <w:bookmarkStart w:id="102" w:name="_Toc28375"/>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100"/>
      <w:bookmarkEnd w:id="101"/>
      <w:bookmarkEnd w:id="102"/>
    </w:p>
    <w:p w14:paraId="744892F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本合同如发生争议，买卖双方应当及时协商解决，协商不成时，按以下第（①）项方式处理：①根据《中华人民共和国仲裁法》的规定向 安庆仲裁委员会 申请仲裁。②向________人民法院起诉。</w:t>
      </w:r>
    </w:p>
    <w:p w14:paraId="26F39AB5">
      <w:pPr>
        <w:spacing w:line="360" w:lineRule="auto"/>
        <w:ind w:firstLine="437"/>
        <w:outlineLvl w:val="3"/>
        <w:rPr>
          <w:rFonts w:asciiTheme="minorEastAsia" w:hAnsiTheme="minorEastAsia" w:eastAsiaTheme="minorEastAsia"/>
          <w:b/>
          <w:bCs/>
          <w:color w:val="auto"/>
          <w:sz w:val="24"/>
          <w:highlight w:val="none"/>
          <w:lang w:val="zh-CN"/>
        </w:rPr>
      </w:pPr>
      <w:bookmarkStart w:id="103" w:name="_Toc11173"/>
      <w:bookmarkStart w:id="104" w:name="_Toc15322"/>
      <w:bookmarkStart w:id="105" w:name="_Toc7245"/>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103"/>
      <w:bookmarkEnd w:id="104"/>
      <w:bookmarkEnd w:id="105"/>
    </w:p>
    <w:p w14:paraId="205E7884">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14:paraId="0771E9DD">
      <w:pPr>
        <w:autoSpaceDE w:val="0"/>
        <w:autoSpaceDN w:val="0"/>
        <w:adjustRightInd w:val="0"/>
        <w:spacing w:line="560" w:lineRule="exact"/>
        <w:rPr>
          <w:rFonts w:asciiTheme="minorEastAsia" w:hAnsiTheme="minorEastAsia" w:eastAsiaTheme="minorEastAsia"/>
          <w:color w:val="auto"/>
          <w:sz w:val="24"/>
          <w:highlight w:val="none"/>
          <w:lang w:val="zh-CN"/>
        </w:rPr>
      </w:pPr>
    </w:p>
    <w:p w14:paraId="2D0098AC">
      <w:pPr>
        <w:autoSpaceDE w:val="0"/>
        <w:autoSpaceDN w:val="0"/>
        <w:adjustRightInd w:val="0"/>
        <w:spacing w:line="560" w:lineRule="exact"/>
        <w:rPr>
          <w:rFonts w:asciiTheme="minorEastAsia" w:hAnsiTheme="minorEastAsia" w:eastAsiaTheme="minorEastAsia"/>
          <w:color w:val="auto"/>
          <w:sz w:val="24"/>
          <w:highlight w:val="none"/>
          <w:lang w:val="zh-CN"/>
        </w:rPr>
      </w:pPr>
    </w:p>
    <w:p w14:paraId="4224213E">
      <w:pPr>
        <w:autoSpaceDE w:val="0"/>
        <w:autoSpaceDN w:val="0"/>
        <w:adjustRightInd w:val="0"/>
        <w:spacing w:line="560" w:lineRule="exact"/>
        <w:rPr>
          <w:rFonts w:asciiTheme="minorEastAsia" w:hAnsiTheme="minorEastAsia" w:eastAsiaTheme="minorEastAsia"/>
          <w:color w:val="auto"/>
          <w:sz w:val="24"/>
          <w:highlight w:val="none"/>
          <w:lang w:val="zh-CN"/>
        </w:rPr>
      </w:pPr>
    </w:p>
    <w:p w14:paraId="1A3EF9CB">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 xml:space="preserve">甲 </w:t>
      </w:r>
      <w:r>
        <w:rPr>
          <w:rFonts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zh-CN"/>
        </w:rPr>
        <w:t>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lang w:val="zh-CN"/>
        </w:rPr>
        <w:t xml:space="preserve">          乙方：</w:t>
      </w:r>
      <w:r>
        <w:rPr>
          <w:rFonts w:hint="eastAsia" w:asciiTheme="minorEastAsia" w:hAnsiTheme="minorEastAsia" w:eastAsiaTheme="minorEastAsia"/>
          <w:bCs/>
          <w:color w:val="auto"/>
          <w:sz w:val="24"/>
          <w:highlight w:val="none"/>
          <w:u w:val="single"/>
          <w:lang w:val="zh-CN"/>
        </w:rPr>
        <w:t xml:space="preserve">    （单位盖章）     </w:t>
      </w:r>
    </w:p>
    <w:p w14:paraId="3BE0B36D">
      <w:pPr>
        <w:widowControl/>
        <w:spacing w:line="560" w:lineRule="exact"/>
        <w:jc w:val="left"/>
        <w:rPr>
          <w:rFonts w:hint="eastAsia" w:asciiTheme="minorEastAsia" w:hAnsiTheme="minorEastAsia" w:eastAsiaTheme="minorEastAsia"/>
          <w:bCs/>
          <w:color w:val="auto"/>
          <w:sz w:val="24"/>
          <w:highlight w:val="none"/>
        </w:rPr>
      </w:pPr>
    </w:p>
    <w:p w14:paraId="1D946788">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14:paraId="710E4714">
      <w:pPr>
        <w:keepNext w:val="0"/>
        <w:keepLines w:val="0"/>
        <w:pageBreakBefore w:val="0"/>
        <w:widowControl w:val="0"/>
        <w:kinsoku/>
        <w:wordWrap/>
        <w:overflowPunct/>
        <w:topLinePunct w:val="0"/>
        <w:bidi w:val="0"/>
        <w:adjustRightInd/>
        <w:snapToGrid/>
        <w:spacing w:line="480" w:lineRule="exact"/>
        <w:ind w:firstLine="420" w:firstLineChars="200"/>
        <w:textAlignment w:val="auto"/>
        <w:rPr>
          <w:color w:val="auto"/>
          <w:highlight w:val="none"/>
        </w:rPr>
      </w:pPr>
    </w:p>
    <w:p w14:paraId="290BBE37">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2785DC9B">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392C607A">
      <w:pPr>
        <w:keepNext w:val="0"/>
        <w:keepLines w:val="0"/>
        <w:pageBreakBefore w:val="0"/>
        <w:widowControl w:val="0"/>
        <w:kinsoku/>
        <w:wordWrap/>
        <w:overflowPunct/>
        <w:topLinePunct w:val="0"/>
        <w:bidi w:val="0"/>
        <w:adjustRightInd/>
        <w:snapToGrid/>
        <w:spacing w:line="480" w:lineRule="exact"/>
        <w:ind w:firstLine="420" w:firstLineChars="200"/>
        <w:textAlignment w:val="auto"/>
        <w:rPr>
          <w:rFonts w:ascii="宋体" w:hAnsi="宋体" w:cs="宋体"/>
          <w:color w:val="auto"/>
          <w:szCs w:val="21"/>
          <w:highlight w:val="none"/>
        </w:rPr>
      </w:pPr>
    </w:p>
    <w:p w14:paraId="26088684">
      <w:pPr>
        <w:pStyle w:val="47"/>
        <w:rPr>
          <w:rFonts w:ascii="宋体" w:hAnsi="宋体" w:cs="宋体"/>
          <w:color w:val="auto"/>
          <w:szCs w:val="21"/>
          <w:highlight w:val="none"/>
        </w:rPr>
      </w:pPr>
    </w:p>
    <w:p w14:paraId="7EE8BA91">
      <w:pPr>
        <w:pStyle w:val="47"/>
        <w:rPr>
          <w:rFonts w:ascii="宋体" w:hAnsi="宋体" w:cs="宋体"/>
          <w:color w:val="auto"/>
          <w:szCs w:val="21"/>
          <w:highlight w:val="none"/>
        </w:rPr>
      </w:pPr>
    </w:p>
    <w:p w14:paraId="7E1F1240">
      <w:pPr>
        <w:pStyle w:val="47"/>
        <w:rPr>
          <w:rFonts w:ascii="宋体" w:hAnsi="宋体" w:cs="宋体"/>
          <w:color w:val="auto"/>
          <w:szCs w:val="21"/>
          <w:highlight w:val="none"/>
        </w:rPr>
      </w:pPr>
    </w:p>
    <w:p w14:paraId="77353355">
      <w:pPr>
        <w:pStyle w:val="47"/>
        <w:rPr>
          <w:rFonts w:ascii="宋体" w:hAnsi="宋体" w:cs="宋体"/>
          <w:color w:val="auto"/>
          <w:szCs w:val="21"/>
          <w:highlight w:val="none"/>
        </w:rPr>
      </w:pPr>
    </w:p>
    <w:p w14:paraId="28F237D8">
      <w:pPr>
        <w:pStyle w:val="47"/>
        <w:rPr>
          <w:rFonts w:ascii="宋体" w:hAnsi="宋体" w:cs="宋体"/>
          <w:color w:val="auto"/>
          <w:szCs w:val="21"/>
          <w:highlight w:val="none"/>
        </w:rPr>
      </w:pPr>
    </w:p>
    <w:p w14:paraId="50B5EF6B">
      <w:pPr>
        <w:pStyle w:val="47"/>
        <w:rPr>
          <w:rFonts w:ascii="宋体" w:hAnsi="宋体" w:cs="宋体"/>
          <w:color w:val="auto"/>
          <w:szCs w:val="21"/>
          <w:highlight w:val="none"/>
        </w:rPr>
      </w:pPr>
    </w:p>
    <w:p w14:paraId="6333ECD9">
      <w:pPr>
        <w:pStyle w:val="47"/>
        <w:rPr>
          <w:rFonts w:ascii="宋体" w:hAnsi="宋体" w:cs="宋体"/>
          <w:color w:val="auto"/>
          <w:szCs w:val="21"/>
          <w:highlight w:val="none"/>
        </w:rPr>
      </w:pPr>
    </w:p>
    <w:p w14:paraId="389E5C4C">
      <w:pPr>
        <w:pStyle w:val="47"/>
        <w:rPr>
          <w:rFonts w:ascii="宋体" w:hAnsi="宋体" w:cs="宋体"/>
          <w:color w:val="auto"/>
          <w:szCs w:val="21"/>
          <w:highlight w:val="none"/>
        </w:rPr>
      </w:pPr>
    </w:p>
    <w:p w14:paraId="414869AC">
      <w:pPr>
        <w:pStyle w:val="47"/>
        <w:rPr>
          <w:rFonts w:ascii="宋体" w:hAnsi="宋体" w:cs="宋体"/>
          <w:color w:val="auto"/>
          <w:szCs w:val="21"/>
          <w:highlight w:val="none"/>
        </w:rPr>
      </w:pPr>
    </w:p>
    <w:p w14:paraId="07A3FE83">
      <w:pPr>
        <w:pStyle w:val="47"/>
        <w:rPr>
          <w:rFonts w:ascii="宋体" w:hAnsi="宋体" w:cs="宋体"/>
          <w:color w:val="auto"/>
          <w:szCs w:val="21"/>
          <w:highlight w:val="none"/>
        </w:rPr>
      </w:pPr>
    </w:p>
    <w:p w14:paraId="34D15801">
      <w:pPr>
        <w:pStyle w:val="47"/>
        <w:ind w:left="0" w:leftChars="0" w:firstLine="0" w:firstLineChars="0"/>
        <w:rPr>
          <w:rFonts w:ascii="宋体" w:hAnsi="宋体" w:cs="宋体"/>
          <w:color w:val="auto"/>
          <w:szCs w:val="21"/>
          <w:highlight w:val="none"/>
        </w:rPr>
      </w:pPr>
    </w:p>
    <w:p w14:paraId="6E30CF3A">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第二部分</w:t>
      </w:r>
      <w:r>
        <w:rPr>
          <w:rFonts w:asciiTheme="minorEastAsia" w:hAnsiTheme="minorEastAsia" w:eastAsiaTheme="minorEastAsia"/>
          <w:b/>
          <w:color w:val="auto"/>
          <w:sz w:val="24"/>
          <w:highlight w:val="none"/>
        </w:rPr>
        <w:t xml:space="preserve"> </w:t>
      </w:r>
      <w:r>
        <w:rPr>
          <w:rFonts w:hint="eastAsia" w:asciiTheme="minorEastAsia" w:hAnsiTheme="minorEastAsia" w:eastAsiaTheme="minorEastAsia"/>
          <w:b/>
          <w:color w:val="auto"/>
          <w:sz w:val="24"/>
          <w:highlight w:val="none"/>
        </w:rPr>
        <w:t>合同一般条款</w:t>
      </w:r>
    </w:p>
    <w:p w14:paraId="4EC01A8F">
      <w:pPr>
        <w:spacing w:line="360" w:lineRule="auto"/>
        <w:ind w:firstLine="437"/>
        <w:outlineLvl w:val="3"/>
        <w:rPr>
          <w:rFonts w:asciiTheme="minorEastAsia" w:hAnsiTheme="minorEastAsia" w:eastAsiaTheme="minorEastAsia"/>
          <w:b/>
          <w:bCs/>
          <w:color w:val="auto"/>
          <w:sz w:val="24"/>
          <w:highlight w:val="none"/>
          <w:lang w:val="zh-CN"/>
        </w:rPr>
      </w:pPr>
      <w:bookmarkStart w:id="106" w:name="_Ref467379214"/>
      <w:bookmarkStart w:id="107" w:name="_Toc19614"/>
      <w:bookmarkStart w:id="108" w:name="_Toc259093669"/>
      <w:bookmarkStart w:id="109" w:name="_Ref467379195"/>
      <w:bookmarkStart w:id="110" w:name="_Ref467379094"/>
      <w:bookmarkStart w:id="111" w:name="_Ref467378463"/>
      <w:bookmarkStart w:id="112" w:name="_Ref467378499"/>
      <w:bookmarkStart w:id="113" w:name="_Toc279701240"/>
      <w:bookmarkStart w:id="114" w:name="_Ref467379225"/>
      <w:bookmarkStart w:id="115" w:name="_Ref467379109"/>
      <w:bookmarkStart w:id="116" w:name="_Ref467379205"/>
      <w:bookmarkStart w:id="117" w:name="_Toc487900349"/>
      <w:bookmarkStart w:id="118" w:name="_Ref467378404"/>
      <w:bookmarkStart w:id="119" w:name="_Toc16917"/>
      <w:bookmarkStart w:id="120" w:name="_Toc28763"/>
      <w:bookmarkStart w:id="121" w:name="_Ref467379101"/>
      <w:r>
        <w:rPr>
          <w:rFonts w:hint="eastAsia" w:asciiTheme="minorEastAsia" w:hAnsiTheme="minorEastAsia" w:eastAsiaTheme="minorEastAsia"/>
          <w:b/>
          <w:bCs/>
          <w:color w:val="auto"/>
          <w:sz w:val="24"/>
          <w:highlight w:val="none"/>
          <w:lang w:val="zh-CN"/>
        </w:rPr>
        <w:t>2.1</w:t>
      </w:r>
      <w:r>
        <w:rPr>
          <w:rFonts w:asciiTheme="minorEastAsia" w:hAnsiTheme="minorEastAsia" w:eastAsiaTheme="minorEastAsia"/>
          <w:b/>
          <w:bCs/>
          <w:color w:val="auto"/>
          <w:sz w:val="24"/>
          <w:highlight w:val="none"/>
          <w:lang w:val="zh-CN"/>
        </w:rPr>
        <w:t xml:space="preserve"> 定义</w:t>
      </w:r>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p>
    <w:p w14:paraId="19782D13">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本合同中的下列</w:t>
      </w:r>
      <w:r>
        <w:rPr>
          <w:rFonts w:hint="eastAsia" w:asciiTheme="minorEastAsia" w:hAnsiTheme="minorEastAsia" w:eastAsiaTheme="minorEastAsia"/>
          <w:color w:val="auto"/>
          <w:sz w:val="24"/>
          <w:highlight w:val="none"/>
        </w:rPr>
        <w:t>词</w:t>
      </w:r>
      <w:r>
        <w:rPr>
          <w:rFonts w:asciiTheme="minorEastAsia" w:hAnsiTheme="minorEastAsia" w:eastAsiaTheme="minorEastAsia"/>
          <w:color w:val="auto"/>
          <w:sz w:val="24"/>
          <w:highlight w:val="none"/>
        </w:rPr>
        <w:t>语应</w:t>
      </w:r>
      <w:r>
        <w:rPr>
          <w:rFonts w:hint="eastAsia" w:asciiTheme="minorEastAsia" w:hAnsiTheme="minorEastAsia" w:eastAsiaTheme="minorEastAsia"/>
          <w:color w:val="auto"/>
          <w:sz w:val="24"/>
          <w:highlight w:val="none"/>
        </w:rPr>
        <w:t>按以下内容进行</w:t>
      </w:r>
      <w:r>
        <w:rPr>
          <w:rFonts w:asciiTheme="minorEastAsia" w:hAnsiTheme="minorEastAsia" w:eastAsiaTheme="minorEastAsia"/>
          <w:color w:val="auto"/>
          <w:sz w:val="24"/>
          <w:highlight w:val="none"/>
        </w:rPr>
        <w:t>解释：</w:t>
      </w:r>
    </w:p>
    <w:p w14:paraId="4367BF4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“合同”系指采购人和</w:t>
      </w:r>
      <w:r>
        <w:rPr>
          <w:rFonts w:hint="eastAsia" w:asciiTheme="minorEastAsia" w:hAnsiTheme="minorEastAsia" w:eastAsiaTheme="minorEastAsia"/>
          <w:color w:val="auto"/>
          <w:sz w:val="24"/>
          <w:highlight w:val="none"/>
          <w:lang w:eastAsia="zh-CN"/>
        </w:rPr>
        <w:t>成交人</w:t>
      </w:r>
      <w:r>
        <w:rPr>
          <w:rFonts w:asciiTheme="minorEastAsia" w:hAnsiTheme="minorEastAsia" w:eastAsiaTheme="minorEastAsia"/>
          <w:color w:val="auto"/>
          <w:sz w:val="24"/>
          <w:highlight w:val="none"/>
        </w:rPr>
        <w:t>签订的载明双方当事人所达成的协议，并包括所有的附件、附录和构成合同的其他文件。</w:t>
      </w:r>
    </w:p>
    <w:p w14:paraId="012EC619">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1.2“合同价”系指根据合同约定，</w:t>
      </w:r>
      <w:r>
        <w:rPr>
          <w:rFonts w:hint="eastAsia" w:asciiTheme="minorEastAsia" w:hAnsiTheme="minorEastAsia" w:eastAsiaTheme="minorEastAsia"/>
          <w:color w:val="auto"/>
          <w:sz w:val="24"/>
          <w:highlight w:val="none"/>
          <w:lang w:eastAsia="zh-CN"/>
        </w:rPr>
        <w:t>成交人</w:t>
      </w:r>
      <w:r>
        <w:rPr>
          <w:rFonts w:asciiTheme="minorEastAsia" w:hAnsiTheme="minorEastAsia" w:eastAsiaTheme="minorEastAsia"/>
          <w:color w:val="auto"/>
          <w:sz w:val="24"/>
          <w:highlight w:val="none"/>
        </w:rPr>
        <w:t>在完全履行合同义务后</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采购人应支付给</w:t>
      </w:r>
      <w:r>
        <w:rPr>
          <w:rFonts w:hint="eastAsia" w:asciiTheme="minorEastAsia" w:hAnsiTheme="minorEastAsia" w:eastAsiaTheme="minorEastAsia"/>
          <w:color w:val="auto"/>
          <w:sz w:val="24"/>
          <w:highlight w:val="none"/>
          <w:lang w:eastAsia="zh-CN"/>
        </w:rPr>
        <w:t>成交人</w:t>
      </w:r>
      <w:r>
        <w:rPr>
          <w:rFonts w:asciiTheme="minorEastAsia" w:hAnsiTheme="minorEastAsia" w:eastAsiaTheme="minorEastAsia"/>
          <w:color w:val="auto"/>
          <w:sz w:val="24"/>
          <w:highlight w:val="none"/>
        </w:rPr>
        <w:t>的价格。</w:t>
      </w:r>
    </w:p>
    <w:p w14:paraId="75E65D4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1.3“货物”系指</w:t>
      </w:r>
      <w:r>
        <w:rPr>
          <w:rFonts w:hint="eastAsia" w:asciiTheme="minorEastAsia" w:hAnsiTheme="minorEastAsia" w:eastAsiaTheme="minorEastAsia"/>
          <w:color w:val="auto"/>
          <w:sz w:val="24"/>
          <w:highlight w:val="none"/>
          <w:lang w:eastAsia="zh-CN"/>
        </w:rPr>
        <w:t>成交人</w:t>
      </w:r>
      <w:r>
        <w:rPr>
          <w:rFonts w:asciiTheme="minorEastAsia" w:hAnsiTheme="minorEastAsia" w:eastAsiaTheme="minorEastAsia"/>
          <w:color w:val="auto"/>
          <w:sz w:val="24"/>
          <w:highlight w:val="none"/>
        </w:rPr>
        <w:t>根据合同约定应向采购人交付的一切</w:t>
      </w:r>
      <w:r>
        <w:rPr>
          <w:rFonts w:hint="eastAsia" w:asciiTheme="minorEastAsia" w:hAnsiTheme="minorEastAsia" w:eastAsiaTheme="minorEastAsia"/>
          <w:color w:val="auto"/>
          <w:sz w:val="24"/>
          <w:highlight w:val="none"/>
        </w:rPr>
        <w:t>各种形态和种类的物品，包括原材料、燃料、设备、</w:t>
      </w:r>
      <w:r>
        <w:rPr>
          <w:rFonts w:asciiTheme="minorEastAsia" w:hAnsiTheme="minorEastAsia" w:eastAsiaTheme="minorEastAsia"/>
          <w:color w:val="auto"/>
          <w:sz w:val="24"/>
          <w:highlight w:val="none"/>
        </w:rPr>
        <w:t>机械、仪表、备件</w:t>
      </w:r>
      <w:r>
        <w:rPr>
          <w:rFonts w:hint="eastAsia" w:asciiTheme="minorEastAsia" w:hAnsiTheme="minorEastAsia" w:eastAsiaTheme="minorEastAsia"/>
          <w:color w:val="auto"/>
          <w:sz w:val="24"/>
          <w:highlight w:val="none"/>
        </w:rPr>
        <w:t>、计算机软件、产品等</w:t>
      </w:r>
      <w:r>
        <w:rPr>
          <w:rFonts w:asciiTheme="minorEastAsia" w:hAnsiTheme="minorEastAsia" w:eastAsiaTheme="minorEastAsia"/>
          <w:color w:val="auto"/>
          <w:sz w:val="24"/>
          <w:highlight w:val="none"/>
        </w:rPr>
        <w:t>，并包括工具、手册等其他相关资料。</w:t>
      </w:r>
    </w:p>
    <w:p w14:paraId="59111B61">
      <w:pPr>
        <w:spacing w:line="360" w:lineRule="auto"/>
        <w:ind w:firstLine="435"/>
        <w:rPr>
          <w:rFonts w:asciiTheme="minorEastAsia" w:hAnsiTheme="minorEastAsia" w:eastAsiaTheme="minorEastAsia"/>
          <w:color w:val="auto"/>
          <w:sz w:val="24"/>
          <w:highlight w:val="none"/>
        </w:rPr>
      </w:pPr>
      <w:bookmarkStart w:id="122" w:name="_Ref467378840"/>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4</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甲方</w:t>
      </w:r>
      <w:r>
        <w:rPr>
          <w:rFonts w:asciiTheme="minorEastAsia" w:hAnsiTheme="minorEastAsia" w:eastAsiaTheme="minorEastAsia"/>
          <w:color w:val="auto"/>
          <w:sz w:val="24"/>
          <w:highlight w:val="none"/>
        </w:rPr>
        <w:t>”系指与</w:t>
      </w:r>
      <w:r>
        <w:rPr>
          <w:rFonts w:hint="eastAsia" w:asciiTheme="minorEastAsia" w:hAnsiTheme="minorEastAsia" w:eastAsiaTheme="minorEastAsia"/>
          <w:color w:val="auto"/>
          <w:sz w:val="24"/>
          <w:highlight w:val="none"/>
          <w:lang w:eastAsia="zh-CN"/>
        </w:rPr>
        <w:t>成交人</w:t>
      </w:r>
      <w:r>
        <w:rPr>
          <w:rFonts w:asciiTheme="minorEastAsia" w:hAnsiTheme="minorEastAsia" w:eastAsiaTheme="minorEastAsia"/>
          <w:color w:val="auto"/>
          <w:sz w:val="24"/>
          <w:highlight w:val="none"/>
        </w:rPr>
        <w:t>签署合同的采购人</w:t>
      </w:r>
      <w:bookmarkEnd w:id="122"/>
      <w:r>
        <w:rPr>
          <w:rFonts w:hint="eastAsia" w:asciiTheme="minorEastAsia" w:hAnsiTheme="minorEastAsia" w:eastAsiaTheme="minorEastAsia"/>
          <w:color w:val="auto"/>
          <w:sz w:val="24"/>
          <w:highlight w:val="none"/>
        </w:rPr>
        <w:t>；采购人委托采购代理机构代表其与乙方签订合同的，采购人的授权委托书作为合同附件。</w:t>
      </w:r>
    </w:p>
    <w:p w14:paraId="02E884B3">
      <w:pPr>
        <w:spacing w:line="360" w:lineRule="auto"/>
        <w:ind w:firstLine="435"/>
        <w:rPr>
          <w:rFonts w:asciiTheme="minorEastAsia" w:hAnsiTheme="minorEastAsia" w:eastAsiaTheme="minorEastAsia"/>
          <w:color w:val="auto"/>
          <w:sz w:val="24"/>
          <w:highlight w:val="none"/>
        </w:rPr>
      </w:pPr>
      <w:bookmarkStart w:id="123" w:name="_Ref467379400"/>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5</w:t>
      </w:r>
      <w:r>
        <w:rPr>
          <w:rFonts w:asciiTheme="minorEastAsia" w:hAnsiTheme="minorEastAsia" w:eastAsiaTheme="minorEastAsia"/>
          <w:color w:val="auto"/>
          <w:sz w:val="24"/>
          <w:highlight w:val="none"/>
        </w:rPr>
        <w:t>“乙方”系指根据合同约定交付货物的</w:t>
      </w:r>
      <w:bookmarkEnd w:id="123"/>
      <w:r>
        <w:rPr>
          <w:rFonts w:hint="eastAsia" w:asciiTheme="minorEastAsia" w:hAnsiTheme="minorEastAsia" w:eastAsiaTheme="minorEastAsia"/>
          <w:color w:val="auto"/>
          <w:sz w:val="24"/>
          <w:highlight w:val="none"/>
          <w:lang w:eastAsia="zh-CN"/>
        </w:rPr>
        <w:t>成交人</w:t>
      </w:r>
      <w:r>
        <w:rPr>
          <w:rFonts w:hint="eastAsia" w:asciiTheme="minorEastAsia" w:hAnsiTheme="minorEastAsia" w:eastAsiaTheme="minorEastAsia"/>
          <w:color w:val="auto"/>
          <w:sz w:val="24"/>
          <w:highlight w:val="none"/>
        </w:rPr>
        <w:t>；两个以上的自然人、法人或者其他组织组成一个联合体，以一个供应商的身份共同参加政府采购的，联合体各方均应为乙方或者与乙方相同地位的合同当事人，并就合同约定的事项对甲方承担连带责任。</w:t>
      </w:r>
    </w:p>
    <w:p w14:paraId="6FF754F8">
      <w:pPr>
        <w:spacing w:line="360" w:lineRule="auto"/>
        <w:ind w:firstLine="435"/>
        <w:rPr>
          <w:rFonts w:asciiTheme="minorEastAsia" w:hAnsiTheme="minorEastAsia" w:eastAsiaTheme="minorEastAsia"/>
          <w:color w:val="auto"/>
          <w:sz w:val="24"/>
          <w:highlight w:val="none"/>
        </w:rPr>
      </w:pPr>
      <w:bookmarkStart w:id="124" w:name="_Ref467379436"/>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6</w:t>
      </w:r>
      <w:r>
        <w:rPr>
          <w:rFonts w:asciiTheme="minorEastAsia" w:hAnsiTheme="minorEastAsia" w:eastAsiaTheme="minorEastAsia"/>
          <w:color w:val="auto"/>
          <w:sz w:val="24"/>
          <w:highlight w:val="none"/>
        </w:rPr>
        <w:t>“现场”系指合同约定货物将要运至</w:t>
      </w:r>
      <w:r>
        <w:rPr>
          <w:rFonts w:hint="eastAsia" w:asciiTheme="minorEastAsia" w:hAnsiTheme="minorEastAsia" w:eastAsiaTheme="minorEastAsia"/>
          <w:color w:val="auto"/>
          <w:sz w:val="24"/>
          <w:highlight w:val="none"/>
        </w:rPr>
        <w:t>或者</w:t>
      </w:r>
      <w:r>
        <w:rPr>
          <w:rFonts w:asciiTheme="minorEastAsia" w:hAnsiTheme="minorEastAsia" w:eastAsiaTheme="minorEastAsia"/>
          <w:color w:val="auto"/>
          <w:sz w:val="24"/>
          <w:highlight w:val="none"/>
        </w:rPr>
        <w:t>安装的地点。</w:t>
      </w:r>
      <w:bookmarkEnd w:id="124"/>
    </w:p>
    <w:p w14:paraId="6A2BE009">
      <w:pPr>
        <w:spacing w:line="360" w:lineRule="auto"/>
        <w:ind w:firstLine="437"/>
        <w:outlineLvl w:val="3"/>
        <w:rPr>
          <w:rFonts w:asciiTheme="minorEastAsia" w:hAnsiTheme="minorEastAsia" w:eastAsiaTheme="minorEastAsia"/>
          <w:b/>
          <w:bCs/>
          <w:color w:val="auto"/>
          <w:sz w:val="24"/>
          <w:highlight w:val="none"/>
          <w:lang w:val="zh-CN"/>
        </w:rPr>
      </w:pPr>
      <w:bookmarkStart w:id="125" w:name="_Toc27635"/>
      <w:bookmarkStart w:id="126" w:name="_Toc279701241"/>
      <w:bookmarkStart w:id="127" w:name="_Toc32504"/>
      <w:bookmarkStart w:id="128" w:name="_Toc259093670"/>
      <w:bookmarkStart w:id="129" w:name="_Toc487900350"/>
      <w:bookmarkStart w:id="130" w:name="_Toc13336"/>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2 技术规范</w:t>
      </w:r>
      <w:bookmarkEnd w:id="125"/>
      <w:bookmarkEnd w:id="126"/>
      <w:bookmarkEnd w:id="127"/>
      <w:bookmarkEnd w:id="128"/>
      <w:bookmarkEnd w:id="129"/>
      <w:bookmarkEnd w:id="130"/>
    </w:p>
    <w:p w14:paraId="5C4F9554">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货物所应遵守的技术规范应与采购文件规定的技术规范和技术规范附件(如果有的话)及其技术规范偏差表(如果被甲方接受的话)相一致</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如果采购文件中没有技术规范的相应说明，那么应以国家有关部门最新颁布的相应标准</w:t>
      </w:r>
      <w:r>
        <w:rPr>
          <w:rFonts w:hint="eastAsia" w:asciiTheme="minorEastAsia" w:hAnsiTheme="minorEastAsia" w:eastAsiaTheme="minorEastAsia"/>
          <w:color w:val="auto"/>
          <w:sz w:val="24"/>
          <w:highlight w:val="none"/>
        </w:rPr>
        <w:t>和</w:t>
      </w:r>
      <w:r>
        <w:rPr>
          <w:rFonts w:asciiTheme="minorEastAsia" w:hAnsiTheme="minorEastAsia" w:eastAsiaTheme="minorEastAsia"/>
          <w:color w:val="auto"/>
          <w:sz w:val="24"/>
          <w:highlight w:val="none"/>
        </w:rPr>
        <w:t>规范为准。</w:t>
      </w:r>
    </w:p>
    <w:p w14:paraId="3E356569">
      <w:pPr>
        <w:spacing w:line="360" w:lineRule="auto"/>
        <w:ind w:firstLine="437"/>
        <w:outlineLvl w:val="3"/>
        <w:rPr>
          <w:rFonts w:asciiTheme="minorEastAsia" w:hAnsiTheme="minorEastAsia" w:eastAsiaTheme="minorEastAsia"/>
          <w:b/>
          <w:bCs/>
          <w:color w:val="auto"/>
          <w:sz w:val="24"/>
          <w:highlight w:val="none"/>
          <w:lang w:val="zh-CN"/>
        </w:rPr>
      </w:pPr>
      <w:bookmarkStart w:id="131" w:name="_Toc27853"/>
      <w:bookmarkStart w:id="132" w:name="_Toc9829"/>
      <w:bookmarkStart w:id="133" w:name="_Toc279701242"/>
      <w:bookmarkStart w:id="134" w:name="_Toc259093671"/>
      <w:bookmarkStart w:id="135" w:name="_Toc487900351"/>
      <w:bookmarkStart w:id="136" w:name="_Toc31634"/>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3 知识产权</w:t>
      </w:r>
      <w:bookmarkEnd w:id="131"/>
      <w:bookmarkEnd w:id="132"/>
      <w:bookmarkEnd w:id="133"/>
      <w:bookmarkEnd w:id="134"/>
      <w:bookmarkEnd w:id="135"/>
      <w:bookmarkEnd w:id="136"/>
    </w:p>
    <w:p w14:paraId="265E840E">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2.3.1乙</w:t>
      </w:r>
      <w:r>
        <w:rPr>
          <w:rFonts w:asciiTheme="minorEastAsia" w:hAnsiTheme="minorEastAsia" w:eastAsiaTheme="minorEastAsia"/>
          <w:color w:val="auto"/>
          <w:sz w:val="24"/>
          <w:highlight w:val="none"/>
        </w:rPr>
        <w:t>方应保证甲方在使用该货物或其任何一部分时不受任何第三方提出的侵犯其著作权、商标权、专利权等知识产权方面的起诉</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如果任何第三方提出侵权</w:t>
      </w:r>
      <w:r>
        <w:rPr>
          <w:rFonts w:hint="eastAsia" w:asciiTheme="minorEastAsia" w:hAnsiTheme="minorEastAsia" w:eastAsiaTheme="minorEastAsia"/>
          <w:color w:val="auto"/>
          <w:sz w:val="24"/>
          <w:highlight w:val="none"/>
        </w:rPr>
        <w:t>指控</w:t>
      </w:r>
      <w:r>
        <w:rPr>
          <w:rFonts w:asciiTheme="minorEastAsia" w:hAnsiTheme="minorEastAsia" w:eastAsiaTheme="minorEastAsia"/>
          <w:color w:val="auto"/>
          <w:sz w:val="24"/>
          <w:highlight w:val="none"/>
        </w:rPr>
        <w:t>，那么乙方须与该第三方交涉并承担由此发生的一切责任、费用和赔偿</w:t>
      </w:r>
      <w:r>
        <w:rPr>
          <w:rFonts w:hint="eastAsia" w:asciiTheme="minorEastAsia" w:hAnsiTheme="minorEastAsia" w:eastAsiaTheme="minorEastAsia"/>
          <w:color w:val="auto"/>
          <w:sz w:val="24"/>
          <w:highlight w:val="none"/>
        </w:rPr>
        <w:t>；</w:t>
      </w:r>
    </w:p>
    <w:p w14:paraId="392EC44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2.3.2具有知识产权的计算机软件等货物的知识产权归属，</w:t>
      </w:r>
      <w:r>
        <w:rPr>
          <w:rFonts w:asciiTheme="minorEastAsia" w:hAnsiTheme="minorEastAsia" w:eastAsiaTheme="minorEastAsia"/>
          <w:color w:val="auto"/>
          <w:sz w:val="24"/>
          <w:highlight w:val="none"/>
        </w:rPr>
        <w:t>详见</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w:t>
      </w:r>
    </w:p>
    <w:p w14:paraId="676B3625">
      <w:pPr>
        <w:spacing w:line="360" w:lineRule="auto"/>
        <w:ind w:firstLine="437"/>
        <w:outlineLvl w:val="3"/>
        <w:rPr>
          <w:rFonts w:asciiTheme="minorEastAsia" w:hAnsiTheme="minorEastAsia" w:eastAsiaTheme="minorEastAsia"/>
          <w:b/>
          <w:color w:val="auto"/>
          <w:sz w:val="24"/>
          <w:highlight w:val="none"/>
        </w:rPr>
      </w:pPr>
      <w:bookmarkStart w:id="137" w:name="_Toc29149"/>
      <w:bookmarkStart w:id="138" w:name="_Toc11932"/>
      <w:bookmarkStart w:id="139" w:name="_Toc4194"/>
      <w:r>
        <w:rPr>
          <w:rFonts w:hint="eastAsia" w:asciiTheme="minorEastAsia" w:hAnsiTheme="minorEastAsia" w:eastAsiaTheme="minorEastAsia"/>
          <w:b/>
          <w:bCs/>
          <w:color w:val="auto"/>
          <w:sz w:val="24"/>
          <w:highlight w:val="none"/>
          <w:lang w:val="zh-CN"/>
        </w:rPr>
        <w:t>2.4</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包装和装运</w:t>
      </w:r>
      <w:bookmarkEnd w:id="137"/>
      <w:bookmarkEnd w:id="138"/>
      <w:bookmarkEnd w:id="139"/>
    </w:p>
    <w:p w14:paraId="1377044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2.4.1除</w:t>
      </w:r>
      <w:r>
        <w:rPr>
          <w:rFonts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color w:val="auto"/>
          <w:sz w:val="24"/>
          <w:highlight w:val="none"/>
        </w:rPr>
        <w:t>另有约定外</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乙方交付的全部货物</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均应采用本行业通用的方式进行包装，没有通用方式的，应当采取足以保护货物的包装方式，且该包装应符合国家有关包装的法律、法规的规定。如有必要，包装应适用于远距离运输、防潮、防震、防锈和防粗暴装卸，确保货物安全无损地运抵现场。由于包装不善所引起的货物锈蚀、损坏和损失等一切风险均由乙方承担。</w:t>
      </w:r>
    </w:p>
    <w:p w14:paraId="735D601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2.4.2装运货物的要求和通知，详见</w:t>
      </w:r>
      <w:r>
        <w:rPr>
          <w:rFonts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color w:val="auto"/>
          <w:sz w:val="24"/>
          <w:highlight w:val="none"/>
        </w:rPr>
        <w:t>。</w:t>
      </w:r>
    </w:p>
    <w:p w14:paraId="19158A97">
      <w:pPr>
        <w:spacing w:line="360" w:lineRule="auto"/>
        <w:ind w:firstLine="437"/>
        <w:outlineLvl w:val="3"/>
        <w:rPr>
          <w:rFonts w:asciiTheme="minorEastAsia" w:hAnsiTheme="minorEastAsia" w:eastAsiaTheme="minorEastAsia"/>
          <w:b/>
          <w:bCs/>
          <w:color w:val="auto"/>
          <w:sz w:val="24"/>
          <w:highlight w:val="none"/>
          <w:lang w:val="zh-CN"/>
        </w:rPr>
      </w:pPr>
      <w:bookmarkStart w:id="140" w:name="_Ref467379527"/>
      <w:bookmarkStart w:id="141" w:name="_Toc487900354"/>
      <w:bookmarkStart w:id="142" w:name="_Toc259093674"/>
      <w:bookmarkStart w:id="143" w:name="_Ref467378541"/>
      <w:bookmarkStart w:id="144" w:name="_Toc279701245"/>
      <w:bookmarkStart w:id="145" w:name="_Ref467379542"/>
      <w:bookmarkStart w:id="146" w:name="_Ref467379536"/>
      <w:bookmarkStart w:id="147" w:name="_Ref467378591"/>
      <w:bookmarkStart w:id="148" w:name="_Toc19074"/>
      <w:bookmarkStart w:id="149" w:name="_Toc30272"/>
      <w:bookmarkStart w:id="150" w:name="_Toc26182"/>
      <w:r>
        <w:rPr>
          <w:rFonts w:hint="eastAsia" w:asciiTheme="minorEastAsia" w:hAnsiTheme="minorEastAsia" w:eastAsiaTheme="minorEastAsia"/>
          <w:b/>
          <w:bCs/>
          <w:color w:val="auto"/>
          <w:sz w:val="24"/>
          <w:highlight w:val="none"/>
          <w:lang w:val="zh-CN"/>
        </w:rPr>
        <w:t>2.</w:t>
      </w:r>
      <w:bookmarkEnd w:id="140"/>
      <w:bookmarkEnd w:id="141"/>
      <w:bookmarkEnd w:id="142"/>
      <w:bookmarkEnd w:id="143"/>
      <w:bookmarkEnd w:id="144"/>
      <w:bookmarkEnd w:id="145"/>
      <w:bookmarkEnd w:id="146"/>
      <w:bookmarkEnd w:id="147"/>
      <w:r>
        <w:rPr>
          <w:rFonts w:hint="eastAsia" w:asciiTheme="minorEastAsia" w:hAnsiTheme="minorEastAsia" w:eastAsiaTheme="minorEastAsia"/>
          <w:b/>
          <w:bCs/>
          <w:color w:val="auto"/>
          <w:sz w:val="24"/>
          <w:highlight w:val="none"/>
          <w:lang w:val="zh-CN"/>
        </w:rPr>
        <w:t>5</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履约检查和问题反馈</w:t>
      </w:r>
      <w:bookmarkEnd w:id="148"/>
      <w:bookmarkEnd w:id="149"/>
      <w:bookmarkEnd w:id="150"/>
    </w:p>
    <w:p w14:paraId="779BA1F1">
      <w:pPr>
        <w:spacing w:line="360" w:lineRule="auto"/>
        <w:ind w:firstLine="435"/>
        <w:rPr>
          <w:rFonts w:asciiTheme="minorEastAsia" w:hAnsiTheme="minorEastAsia" w:eastAsiaTheme="minorEastAsia"/>
          <w:color w:val="auto"/>
          <w:sz w:val="24"/>
          <w:highlight w:val="none"/>
        </w:rPr>
      </w:pPr>
      <w:bookmarkStart w:id="151" w:name="_Ref467379657"/>
      <w:r>
        <w:rPr>
          <w:rFonts w:hint="eastAsia" w:asciiTheme="minorEastAsia" w:hAnsiTheme="minorEastAsia" w:eastAsiaTheme="minorEastAsia"/>
          <w:color w:val="auto"/>
          <w:sz w:val="24"/>
          <w:highlight w:val="none"/>
        </w:rPr>
        <w:t>2.5</w:t>
      </w:r>
      <w:r>
        <w:rPr>
          <w:rFonts w:asciiTheme="minorEastAsia" w:hAnsiTheme="minorEastAsia" w:eastAsiaTheme="minorEastAsia"/>
          <w:color w:val="auto"/>
          <w:sz w:val="24"/>
          <w:highlight w:val="none"/>
        </w:rPr>
        <w:t>.1</w:t>
      </w:r>
      <w:bookmarkEnd w:id="151"/>
      <w:bookmarkStart w:id="152" w:name="_Toc186431854"/>
      <w:bookmarkStart w:id="153" w:name="_Toc279701247"/>
      <w:bookmarkStart w:id="154" w:name="_Ref467379807"/>
      <w:bookmarkStart w:id="155" w:name="_Toc259093676"/>
      <w:bookmarkStart w:id="156" w:name="_Ref467379793"/>
      <w:bookmarkStart w:id="157" w:name="_Toc487900357"/>
      <w:r>
        <w:rPr>
          <w:rFonts w:asciiTheme="minorEastAsia" w:hAnsiTheme="minorEastAsia" w:eastAsiaTheme="minorEastAsia"/>
          <w:color w:val="auto"/>
          <w:sz w:val="24"/>
          <w:highlight w:val="none"/>
        </w:rPr>
        <w:t>甲方</w:t>
      </w:r>
      <w:r>
        <w:rPr>
          <w:rFonts w:hint="eastAsia" w:asciiTheme="minorEastAsia" w:hAnsiTheme="minorEastAsia" w:eastAsiaTheme="minorEastAsia"/>
          <w:color w:val="auto"/>
          <w:sz w:val="24"/>
          <w:highlight w:val="none"/>
        </w:rPr>
        <w:t>有权</w:t>
      </w:r>
      <w:r>
        <w:rPr>
          <w:rFonts w:asciiTheme="minorEastAsia" w:hAnsiTheme="minorEastAsia" w:eastAsiaTheme="minorEastAsia"/>
          <w:color w:val="auto"/>
          <w:sz w:val="24"/>
          <w:highlight w:val="none"/>
        </w:rPr>
        <w:t>在其认为必要时</w:t>
      </w:r>
      <w:r>
        <w:rPr>
          <w:rFonts w:hint="eastAsia" w:asciiTheme="minorEastAsia" w:hAnsiTheme="minorEastAsia" w:eastAsiaTheme="minorEastAsia"/>
          <w:color w:val="auto"/>
          <w:sz w:val="24"/>
          <w:highlight w:val="none"/>
        </w:rPr>
        <w:t>，对乙方是否能够按照合同约定交付货物进行履约检查，以确保乙方所交付的货物能够依约满足甲方项目需求，但不得因履约检查妨碍乙方的正常工作，乙方应予积极配合；</w:t>
      </w:r>
    </w:p>
    <w:p w14:paraId="4474146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2.5.2合同履行期间，甲方有权将履行过程中出现的问题反馈给乙方，双方当事人应以书面形式约定需要完善和改进的内容</w:t>
      </w:r>
      <w:bookmarkEnd w:id="152"/>
      <w:bookmarkStart w:id="158" w:name="_Toc186431855"/>
      <w:r>
        <w:rPr>
          <w:rFonts w:hint="eastAsia" w:asciiTheme="minorEastAsia" w:hAnsiTheme="minorEastAsia" w:eastAsiaTheme="minorEastAsia"/>
          <w:color w:val="auto"/>
          <w:sz w:val="24"/>
          <w:highlight w:val="none"/>
        </w:rPr>
        <w:t>。</w:t>
      </w:r>
    </w:p>
    <w:bookmarkEnd w:id="158"/>
    <w:p w14:paraId="58D5FD24">
      <w:pPr>
        <w:spacing w:line="360" w:lineRule="auto"/>
        <w:ind w:firstLine="437"/>
        <w:outlineLvl w:val="3"/>
        <w:rPr>
          <w:rFonts w:asciiTheme="minorEastAsia" w:hAnsiTheme="minorEastAsia" w:eastAsiaTheme="minorEastAsia"/>
          <w:b/>
          <w:bCs/>
          <w:color w:val="auto"/>
          <w:sz w:val="24"/>
          <w:highlight w:val="none"/>
          <w:lang w:val="zh-CN"/>
        </w:rPr>
      </w:pPr>
      <w:bookmarkStart w:id="159" w:name="_Toc19219"/>
      <w:bookmarkStart w:id="160" w:name="_Toc7836"/>
      <w:bookmarkStart w:id="161" w:name="_Toc28451"/>
      <w:r>
        <w:rPr>
          <w:rFonts w:hint="eastAsia" w:asciiTheme="minorEastAsia" w:hAnsiTheme="minorEastAsia" w:eastAsiaTheme="minorEastAsia"/>
          <w:b/>
          <w:bCs/>
          <w:color w:val="auto"/>
          <w:sz w:val="24"/>
          <w:highlight w:val="none"/>
          <w:lang w:val="zh-CN"/>
        </w:rPr>
        <w:t xml:space="preserve">2.6 </w:t>
      </w:r>
      <w:r>
        <w:rPr>
          <w:rFonts w:asciiTheme="minorEastAsia" w:hAnsiTheme="minorEastAsia" w:eastAsiaTheme="minorEastAsia"/>
          <w:b/>
          <w:bCs/>
          <w:color w:val="auto"/>
          <w:sz w:val="24"/>
          <w:highlight w:val="none"/>
          <w:lang w:val="zh-CN"/>
        </w:rPr>
        <w:t>结算方式和付款条件</w:t>
      </w:r>
      <w:bookmarkEnd w:id="153"/>
      <w:bookmarkEnd w:id="154"/>
      <w:bookmarkEnd w:id="155"/>
      <w:bookmarkEnd w:id="156"/>
      <w:bookmarkEnd w:id="157"/>
      <w:bookmarkEnd w:id="159"/>
      <w:bookmarkEnd w:id="160"/>
      <w:bookmarkEnd w:id="161"/>
    </w:p>
    <w:p w14:paraId="1839D957">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详见</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w:t>
      </w:r>
    </w:p>
    <w:p w14:paraId="0CCFE661">
      <w:pPr>
        <w:spacing w:line="360" w:lineRule="auto"/>
        <w:ind w:firstLine="437"/>
        <w:outlineLvl w:val="3"/>
        <w:rPr>
          <w:rFonts w:asciiTheme="minorEastAsia" w:hAnsiTheme="minorEastAsia" w:eastAsiaTheme="minorEastAsia"/>
          <w:b/>
          <w:bCs/>
          <w:color w:val="auto"/>
          <w:sz w:val="24"/>
          <w:highlight w:val="none"/>
          <w:lang w:val="zh-CN"/>
        </w:rPr>
      </w:pPr>
      <w:bookmarkStart w:id="162" w:name="_Toc279701248"/>
      <w:bookmarkStart w:id="163" w:name="_Toc487900358"/>
      <w:bookmarkStart w:id="164" w:name="_Ref467379852"/>
      <w:bookmarkStart w:id="165" w:name="_Toc259093677"/>
      <w:bookmarkStart w:id="166" w:name="_Ref467379863"/>
      <w:bookmarkStart w:id="167" w:name="_Ref467379923"/>
      <w:bookmarkStart w:id="168" w:name="_Toc3225"/>
      <w:bookmarkStart w:id="169" w:name="_Toc774"/>
      <w:bookmarkStart w:id="170" w:name="_Toc16110"/>
      <w:r>
        <w:rPr>
          <w:rFonts w:hint="eastAsia" w:asciiTheme="minorEastAsia" w:hAnsiTheme="minorEastAsia" w:eastAsiaTheme="minorEastAsia"/>
          <w:b/>
          <w:bCs/>
          <w:color w:val="auto"/>
          <w:sz w:val="24"/>
          <w:highlight w:val="none"/>
          <w:lang w:val="zh-CN"/>
        </w:rPr>
        <w:t xml:space="preserve">2.7 </w:t>
      </w:r>
      <w:r>
        <w:rPr>
          <w:rFonts w:asciiTheme="minorEastAsia" w:hAnsiTheme="minorEastAsia" w:eastAsiaTheme="minorEastAsia"/>
          <w:b/>
          <w:bCs/>
          <w:color w:val="auto"/>
          <w:sz w:val="24"/>
          <w:highlight w:val="none"/>
          <w:lang w:val="zh-CN"/>
        </w:rPr>
        <w:t>技术资料</w:t>
      </w:r>
      <w:bookmarkEnd w:id="162"/>
      <w:bookmarkEnd w:id="163"/>
      <w:bookmarkEnd w:id="164"/>
      <w:bookmarkEnd w:id="165"/>
      <w:bookmarkEnd w:id="166"/>
      <w:bookmarkEnd w:id="167"/>
      <w:r>
        <w:rPr>
          <w:rFonts w:asciiTheme="minorEastAsia" w:hAnsiTheme="minorEastAsia" w:eastAsiaTheme="minorEastAsia"/>
          <w:b/>
          <w:bCs/>
          <w:color w:val="auto"/>
          <w:sz w:val="24"/>
          <w:highlight w:val="none"/>
          <w:lang w:val="zh-CN"/>
        </w:rPr>
        <w:t>和保密义务</w:t>
      </w:r>
      <w:bookmarkEnd w:id="168"/>
      <w:bookmarkEnd w:id="169"/>
      <w:bookmarkEnd w:id="170"/>
    </w:p>
    <w:p w14:paraId="3311A58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2.7</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乙方有权依据合同约定和项目需要，向甲方了解有关情况，调阅有关资料等，甲方应予积极配合；</w:t>
      </w:r>
    </w:p>
    <w:p w14:paraId="2593617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2.7.2乙方有义务妥善保管和保护由甲方提供的前款信息和资料等；</w:t>
      </w:r>
    </w:p>
    <w:p w14:paraId="6A4BC33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2.7</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3除非依照法律规定或者对方当事人的书面同意，任何一方均应保证不向任何第三方提供或披露有关合同的或者履行合同过程中知悉的对方当事人任何未公开的信息和资料，包括但不限于</w:t>
      </w:r>
      <w:r>
        <w:rPr>
          <w:rFonts w:asciiTheme="minorEastAsia" w:hAnsiTheme="minorEastAsia" w:eastAsiaTheme="minorEastAsia"/>
          <w:color w:val="auto"/>
          <w:sz w:val="24"/>
          <w:highlight w:val="none"/>
        </w:rPr>
        <w:t>技术情报</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技术资料</w:t>
      </w:r>
      <w:r>
        <w:rPr>
          <w:rFonts w:hint="eastAsia" w:asciiTheme="minorEastAsia" w:hAnsiTheme="minorEastAsia" w:eastAsiaTheme="minorEastAsia"/>
          <w:color w:val="auto"/>
          <w:sz w:val="24"/>
          <w:highlight w:val="none"/>
        </w:rPr>
        <w:t>、商业秘密和商业信息等，并采取一切合理和必要措施和方式防止任何第三方接触到对方当事人的上述保密信息和资料。</w:t>
      </w:r>
    </w:p>
    <w:p w14:paraId="48F3464F">
      <w:pPr>
        <w:spacing w:line="360" w:lineRule="auto"/>
        <w:ind w:firstLine="437"/>
        <w:outlineLvl w:val="3"/>
        <w:rPr>
          <w:rFonts w:asciiTheme="minorEastAsia" w:hAnsiTheme="minorEastAsia" w:eastAsiaTheme="minorEastAsia"/>
          <w:b/>
          <w:bCs/>
          <w:color w:val="auto"/>
          <w:sz w:val="24"/>
          <w:highlight w:val="none"/>
          <w:lang w:val="zh-CN"/>
        </w:rPr>
      </w:pPr>
      <w:bookmarkStart w:id="171" w:name="_Toc7860"/>
      <w:r>
        <w:rPr>
          <w:rFonts w:asciiTheme="minorEastAsia" w:hAnsiTheme="minorEastAsia" w:eastAsiaTheme="minorEastAsia"/>
          <w:b/>
          <w:bCs/>
          <w:color w:val="auto"/>
          <w:sz w:val="24"/>
          <w:highlight w:val="none"/>
          <w:lang w:val="zh-CN"/>
        </w:rPr>
        <w:t>2.8 质量保证</w:t>
      </w:r>
      <w:bookmarkEnd w:id="171"/>
    </w:p>
    <w:p w14:paraId="519A8A1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2.8.1乙方应建立和完善履行合同的内部质量保证体系，并提供相关内部规章制度给甲方，以便甲方进行监督检查；</w:t>
      </w:r>
    </w:p>
    <w:p w14:paraId="3910749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2.8.2乙方应保证履行合同的人员数量和素质、软件和硬件设备的配置、场地、环境和设施等满足全面履行合同的要求，并应接受甲方的监督检查。</w:t>
      </w:r>
    </w:p>
    <w:p w14:paraId="7645CFBA">
      <w:pPr>
        <w:spacing w:line="360" w:lineRule="auto"/>
        <w:ind w:firstLine="437"/>
        <w:outlineLvl w:val="3"/>
        <w:rPr>
          <w:rFonts w:asciiTheme="minorEastAsia" w:hAnsiTheme="minorEastAsia" w:eastAsiaTheme="minorEastAsia"/>
          <w:b/>
          <w:bCs/>
          <w:color w:val="auto"/>
          <w:sz w:val="24"/>
          <w:highlight w:val="none"/>
          <w:lang w:val="zh-CN"/>
        </w:rPr>
      </w:pPr>
      <w:bookmarkStart w:id="172" w:name="_Toc17244"/>
      <w:bookmarkStart w:id="173" w:name="_Toc487900362"/>
      <w:bookmarkStart w:id="174" w:name="_Toc259093681"/>
      <w:bookmarkStart w:id="175" w:name="_Toc279701252"/>
      <w:r>
        <w:rPr>
          <w:rFonts w:asciiTheme="minorEastAsia" w:hAnsiTheme="minorEastAsia" w:eastAsiaTheme="minorEastAsia"/>
          <w:b/>
          <w:bCs/>
          <w:color w:val="auto"/>
          <w:sz w:val="24"/>
          <w:highlight w:val="none"/>
          <w:lang w:val="zh-CN"/>
        </w:rPr>
        <w:t>2.9 货物的风险负担</w:t>
      </w:r>
      <w:bookmarkEnd w:id="172"/>
    </w:p>
    <w:p w14:paraId="1CDF562A">
      <w:pPr>
        <w:spacing w:line="360" w:lineRule="auto"/>
        <w:ind w:firstLine="435"/>
        <w:rPr>
          <w:rFonts w:asciiTheme="minorEastAsia" w:hAnsiTheme="minorEastAsia" w:eastAsiaTheme="minorEastAsia"/>
          <w:b/>
          <w:color w:val="auto"/>
          <w:sz w:val="24"/>
          <w:highlight w:val="none"/>
        </w:rPr>
      </w:pPr>
      <w:r>
        <w:rPr>
          <w:rFonts w:hint="eastAsia" w:asciiTheme="minorEastAsia" w:hAnsiTheme="minorEastAsia" w:eastAsiaTheme="minorEastAsia"/>
          <w:color w:val="auto"/>
          <w:sz w:val="24"/>
          <w:highlight w:val="none"/>
        </w:rPr>
        <w:t>货物或者在途货物或者交付给第一承运人后的货物毁损、灭失的风险负担</w:t>
      </w:r>
      <w:r>
        <w:rPr>
          <w:rFonts w:asciiTheme="minorEastAsia" w:hAnsiTheme="minorEastAsia" w:eastAsiaTheme="minorEastAsia"/>
          <w:color w:val="auto"/>
          <w:sz w:val="24"/>
          <w:highlight w:val="none"/>
        </w:rPr>
        <w:t>详见</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w:t>
      </w:r>
    </w:p>
    <w:p w14:paraId="7507EC5A">
      <w:pPr>
        <w:spacing w:line="360" w:lineRule="auto"/>
        <w:ind w:firstLine="437"/>
        <w:outlineLvl w:val="3"/>
        <w:rPr>
          <w:rFonts w:asciiTheme="minorEastAsia" w:hAnsiTheme="minorEastAsia" w:eastAsiaTheme="minorEastAsia"/>
          <w:b/>
          <w:bCs/>
          <w:color w:val="auto"/>
          <w:sz w:val="24"/>
          <w:highlight w:val="none"/>
          <w:lang w:val="zh-CN"/>
        </w:rPr>
      </w:pPr>
      <w:bookmarkStart w:id="176" w:name="_Toc14055"/>
      <w:r>
        <w:rPr>
          <w:rFonts w:asciiTheme="minorEastAsia" w:hAnsiTheme="minorEastAsia" w:eastAsiaTheme="minorEastAsia"/>
          <w:b/>
          <w:bCs/>
          <w:color w:val="auto"/>
          <w:sz w:val="24"/>
          <w:highlight w:val="none"/>
          <w:lang w:val="zh-CN"/>
        </w:rPr>
        <w:t>2.10 延迟交货</w:t>
      </w:r>
      <w:bookmarkEnd w:id="173"/>
      <w:bookmarkEnd w:id="174"/>
      <w:bookmarkEnd w:id="175"/>
      <w:bookmarkEnd w:id="176"/>
    </w:p>
    <w:p w14:paraId="58EA2CD2">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在合同履行过程中，如果乙方遇到不能按时交付货物的情况，应及时以书面形式将不能按时</w:t>
      </w:r>
      <w:r>
        <w:rPr>
          <w:rFonts w:hint="eastAsia" w:asciiTheme="minorEastAsia" w:hAnsiTheme="minorEastAsia" w:eastAsiaTheme="minorEastAsia"/>
          <w:color w:val="auto"/>
          <w:sz w:val="24"/>
          <w:highlight w:val="none"/>
        </w:rPr>
        <w:t>交付货物</w:t>
      </w:r>
      <w:r>
        <w:rPr>
          <w:rFonts w:asciiTheme="minorEastAsia" w:hAnsiTheme="minorEastAsia" w:eastAsiaTheme="minorEastAsia"/>
          <w:color w:val="auto"/>
          <w:sz w:val="24"/>
          <w:highlight w:val="none"/>
        </w:rPr>
        <w:t>的理由、预期延误时间通知甲方</w:t>
      </w:r>
      <w:r>
        <w:rPr>
          <w:rFonts w:hint="eastAsia" w:asciiTheme="minorEastAsia" w:hAnsiTheme="minorEastAsia" w:eastAsiaTheme="minorEastAsia"/>
          <w:color w:val="auto"/>
          <w:sz w:val="24"/>
          <w:highlight w:val="none"/>
        </w:rPr>
        <w:t>；甲</w:t>
      </w:r>
      <w:r>
        <w:rPr>
          <w:rFonts w:asciiTheme="minorEastAsia" w:hAnsiTheme="minorEastAsia" w:eastAsiaTheme="minorEastAsia"/>
          <w:color w:val="auto"/>
          <w:sz w:val="24"/>
          <w:highlight w:val="none"/>
        </w:rPr>
        <w:t>方收到乙方通知后，认为其理由正当的，可以书面形式酌情同意乙方可以延长交货的具体时间。</w:t>
      </w:r>
    </w:p>
    <w:p w14:paraId="36B07D7A">
      <w:pPr>
        <w:spacing w:line="360" w:lineRule="auto"/>
        <w:ind w:firstLine="437"/>
        <w:outlineLvl w:val="3"/>
        <w:rPr>
          <w:rFonts w:asciiTheme="minorEastAsia" w:hAnsiTheme="minorEastAsia" w:eastAsiaTheme="minorEastAsia"/>
          <w:b/>
          <w:bCs/>
          <w:color w:val="auto"/>
          <w:sz w:val="24"/>
          <w:highlight w:val="none"/>
          <w:lang w:val="zh-CN"/>
        </w:rPr>
      </w:pPr>
      <w:bookmarkStart w:id="177" w:name="_Toc7502"/>
      <w:bookmarkStart w:id="178" w:name="_Toc259093683"/>
      <w:bookmarkStart w:id="179" w:name="_Toc279701254"/>
      <w:bookmarkStart w:id="180" w:name="_Ref467378121"/>
      <w:bookmarkStart w:id="181" w:name="_Toc487900364"/>
      <w:r>
        <w:rPr>
          <w:rFonts w:asciiTheme="minorEastAsia" w:hAnsiTheme="minorEastAsia" w:eastAsiaTheme="minorEastAsia"/>
          <w:b/>
          <w:bCs/>
          <w:color w:val="auto"/>
          <w:sz w:val="24"/>
          <w:highlight w:val="none"/>
          <w:lang w:val="zh-CN"/>
        </w:rPr>
        <w:t>2.11 合同变更</w:t>
      </w:r>
      <w:bookmarkEnd w:id="177"/>
    </w:p>
    <w:p w14:paraId="06C62A8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2.11.1双方当事人协商一致，可以签订书面补充合同的形式变更合同，但不得违背采购文件确定的事项；</w:t>
      </w:r>
    </w:p>
    <w:p w14:paraId="2900901F">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2.11.2合同继续履行将损害国家利益和社会公共利益的，双方当事人应当以书面形式变更合同。有过错的一方应当承担赔偿责任，双方当事人都有过错的，各自承担相应的责任。</w:t>
      </w:r>
      <w:bookmarkStart w:id="182" w:name="_Toc259093688"/>
      <w:bookmarkStart w:id="183" w:name="_Toc487900369"/>
      <w:bookmarkStart w:id="184" w:name="_Toc279701259"/>
    </w:p>
    <w:p w14:paraId="13CFE320">
      <w:pPr>
        <w:spacing w:line="360" w:lineRule="auto"/>
        <w:ind w:firstLine="437"/>
        <w:outlineLvl w:val="3"/>
        <w:rPr>
          <w:rFonts w:asciiTheme="minorEastAsia" w:hAnsiTheme="minorEastAsia" w:eastAsiaTheme="minorEastAsia"/>
          <w:b/>
          <w:bCs/>
          <w:color w:val="auto"/>
          <w:sz w:val="24"/>
          <w:highlight w:val="none"/>
          <w:lang w:val="zh-CN"/>
        </w:rPr>
      </w:pPr>
      <w:bookmarkStart w:id="185" w:name="_Toc15237"/>
      <w:bookmarkStart w:id="186" w:name="_Toc22955"/>
      <w:bookmarkStart w:id="187" w:name="_Toc10366"/>
      <w:r>
        <w:rPr>
          <w:rFonts w:hint="eastAsia" w:asciiTheme="minorEastAsia" w:hAnsiTheme="minorEastAsia" w:eastAsiaTheme="minorEastAsia"/>
          <w:b/>
          <w:bCs/>
          <w:color w:val="auto"/>
          <w:sz w:val="24"/>
          <w:highlight w:val="none"/>
          <w:lang w:val="zh-CN"/>
        </w:rPr>
        <w:t xml:space="preserve">2.12 </w:t>
      </w:r>
      <w:r>
        <w:rPr>
          <w:rFonts w:asciiTheme="minorEastAsia" w:hAnsiTheme="minorEastAsia" w:eastAsiaTheme="minorEastAsia"/>
          <w:b/>
          <w:bCs/>
          <w:color w:val="auto"/>
          <w:sz w:val="24"/>
          <w:highlight w:val="none"/>
          <w:lang w:val="zh-CN"/>
        </w:rPr>
        <w:t>合同转让</w:t>
      </w:r>
      <w:bookmarkEnd w:id="182"/>
      <w:bookmarkEnd w:id="183"/>
      <w:bookmarkEnd w:id="184"/>
      <w:r>
        <w:rPr>
          <w:rFonts w:asciiTheme="minorEastAsia" w:hAnsiTheme="minorEastAsia" w:eastAsiaTheme="minorEastAsia"/>
          <w:b/>
          <w:bCs/>
          <w:color w:val="auto"/>
          <w:sz w:val="24"/>
          <w:highlight w:val="none"/>
          <w:lang w:val="zh-CN"/>
        </w:rPr>
        <w:t>和分包</w:t>
      </w:r>
      <w:bookmarkEnd w:id="185"/>
      <w:bookmarkEnd w:id="186"/>
      <w:bookmarkEnd w:id="187"/>
    </w:p>
    <w:p w14:paraId="69892DD5">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合同的权利义务依法不</w:t>
      </w:r>
      <w:r>
        <w:rPr>
          <w:rFonts w:hint="eastAsia" w:asciiTheme="minorEastAsia" w:hAnsiTheme="minorEastAsia" w:eastAsiaTheme="minorEastAsia"/>
          <w:color w:val="auto"/>
          <w:sz w:val="24"/>
          <w:highlight w:val="none"/>
        </w:rPr>
        <w:t>得</w:t>
      </w:r>
      <w:r>
        <w:rPr>
          <w:rFonts w:asciiTheme="minorEastAsia" w:hAnsiTheme="minorEastAsia" w:eastAsiaTheme="minorEastAsia"/>
          <w:color w:val="auto"/>
          <w:sz w:val="24"/>
          <w:highlight w:val="none"/>
        </w:rPr>
        <w:t>转让</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但经甲方</w:t>
      </w:r>
      <w:r>
        <w:rPr>
          <w:rFonts w:hint="eastAsia" w:asciiTheme="minorEastAsia" w:hAnsiTheme="minorEastAsia" w:eastAsiaTheme="minorEastAsia"/>
          <w:color w:val="auto"/>
          <w:sz w:val="24"/>
          <w:highlight w:val="none"/>
        </w:rPr>
        <w:t>同意，乙方可以依法采取分包方式履行合同，即：依法可以</w:t>
      </w:r>
      <w:r>
        <w:rPr>
          <w:rFonts w:asciiTheme="minorEastAsia" w:hAnsiTheme="minorEastAsia" w:eastAsiaTheme="minorEastAsia"/>
          <w:color w:val="auto"/>
          <w:sz w:val="24"/>
          <w:highlight w:val="none"/>
        </w:rPr>
        <w:t>将合同项下的部分非主体、非关键性工作分包给他人完成</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接受分包的人应当具备相应的资格条件，并不得再次分包</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且乙方应就分包项目向甲方负责</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并</w:t>
      </w:r>
      <w:r>
        <w:rPr>
          <w:rFonts w:hint="eastAsia" w:asciiTheme="minorEastAsia" w:hAnsiTheme="minorEastAsia" w:eastAsiaTheme="minorEastAsia"/>
          <w:color w:val="auto"/>
          <w:sz w:val="24"/>
          <w:highlight w:val="none"/>
        </w:rPr>
        <w:t>与分包供应商就分包项目向甲方承担连带责任。</w:t>
      </w:r>
    </w:p>
    <w:p w14:paraId="340D6714">
      <w:pPr>
        <w:spacing w:line="360" w:lineRule="auto"/>
        <w:ind w:firstLine="437"/>
        <w:outlineLvl w:val="3"/>
        <w:rPr>
          <w:rFonts w:asciiTheme="minorEastAsia" w:hAnsiTheme="minorEastAsia" w:eastAsiaTheme="minorEastAsia"/>
          <w:b/>
          <w:bCs/>
          <w:color w:val="auto"/>
          <w:sz w:val="24"/>
          <w:highlight w:val="none"/>
          <w:lang w:val="zh-CN"/>
        </w:rPr>
      </w:pPr>
      <w:bookmarkStart w:id="188" w:name="_Toc13566"/>
      <w:bookmarkStart w:id="189" w:name="_Toc16508"/>
      <w:bookmarkStart w:id="190" w:name="_Toc14066"/>
      <w:r>
        <w:rPr>
          <w:rFonts w:hint="eastAsia" w:asciiTheme="minorEastAsia" w:hAnsiTheme="minorEastAsia" w:eastAsiaTheme="minorEastAsia"/>
          <w:b/>
          <w:bCs/>
          <w:color w:val="auto"/>
          <w:sz w:val="24"/>
          <w:highlight w:val="none"/>
          <w:lang w:val="zh-CN"/>
        </w:rPr>
        <w:t>2.13</w:t>
      </w:r>
      <w:r>
        <w:rPr>
          <w:rFonts w:asciiTheme="minorEastAsia" w:hAnsiTheme="minorEastAsia" w:eastAsiaTheme="minorEastAsia"/>
          <w:b/>
          <w:bCs/>
          <w:color w:val="auto"/>
          <w:sz w:val="24"/>
          <w:highlight w:val="none"/>
          <w:lang w:val="zh-CN"/>
        </w:rPr>
        <w:t xml:space="preserve"> 不可抗力</w:t>
      </w:r>
      <w:bookmarkEnd w:id="188"/>
      <w:bookmarkEnd w:id="189"/>
      <w:bookmarkEnd w:id="190"/>
    </w:p>
    <w:p w14:paraId="1C3867F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2.13</w:t>
      </w:r>
      <w:r>
        <w:rPr>
          <w:rFonts w:asciiTheme="minorEastAsia" w:hAnsiTheme="minorEastAsia" w:eastAsiaTheme="minorEastAsia"/>
          <w:color w:val="auto"/>
          <w:sz w:val="24"/>
          <w:highlight w:val="none"/>
        </w:rPr>
        <w:t>.1如果任何一方遭遇法律规定的不可抗力，致使合同履行受阻时，履行合同的期限应予延长，延长的期限应相当于不可抗力所影响的时间</w:t>
      </w:r>
      <w:r>
        <w:rPr>
          <w:rFonts w:hint="eastAsia" w:asciiTheme="minorEastAsia" w:hAnsiTheme="minorEastAsia" w:eastAsiaTheme="minorEastAsia"/>
          <w:color w:val="auto"/>
          <w:sz w:val="24"/>
          <w:highlight w:val="none"/>
        </w:rPr>
        <w:t>；</w:t>
      </w:r>
    </w:p>
    <w:p w14:paraId="2B30623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2.13.2因不可抗力致使不能实现合同目的的，当事人可以解除合同；</w:t>
      </w:r>
    </w:p>
    <w:p w14:paraId="303A317E">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2.13.3因</w:t>
      </w:r>
      <w:r>
        <w:rPr>
          <w:rFonts w:asciiTheme="minorEastAsia" w:hAnsiTheme="minorEastAsia" w:eastAsiaTheme="minorEastAsia"/>
          <w:color w:val="auto"/>
          <w:sz w:val="24"/>
          <w:highlight w:val="none"/>
        </w:rPr>
        <w:t>不可抗力致使合同有变更必要的，双方当事人应在</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约定时间内以书面形式变更合同</w:t>
      </w:r>
      <w:r>
        <w:rPr>
          <w:rFonts w:hint="eastAsia" w:asciiTheme="minorEastAsia" w:hAnsiTheme="minorEastAsia" w:eastAsiaTheme="minorEastAsia"/>
          <w:color w:val="auto"/>
          <w:sz w:val="24"/>
          <w:highlight w:val="none"/>
        </w:rPr>
        <w:t>；</w:t>
      </w:r>
    </w:p>
    <w:p w14:paraId="79E8DE2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2.13</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4</w:t>
      </w:r>
      <w:r>
        <w:rPr>
          <w:rFonts w:asciiTheme="minorEastAsia" w:hAnsiTheme="minorEastAsia" w:eastAsiaTheme="minorEastAsia"/>
          <w:color w:val="auto"/>
          <w:sz w:val="24"/>
          <w:highlight w:val="none"/>
        </w:rPr>
        <w:t>受</w:t>
      </w:r>
      <w:r>
        <w:rPr>
          <w:rFonts w:hint="eastAsia" w:asciiTheme="minorEastAsia" w:hAnsiTheme="minorEastAsia" w:eastAsiaTheme="minorEastAsia"/>
          <w:color w:val="auto"/>
          <w:sz w:val="24"/>
          <w:highlight w:val="none"/>
        </w:rPr>
        <w:t>不可抗力</w:t>
      </w:r>
      <w:r>
        <w:rPr>
          <w:rFonts w:asciiTheme="minorEastAsia" w:hAnsiTheme="minorEastAsia" w:eastAsiaTheme="minorEastAsia"/>
          <w:color w:val="auto"/>
          <w:sz w:val="24"/>
          <w:highlight w:val="none"/>
        </w:rPr>
        <w:t>影响的一方在不可抗力发生后</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应在</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约定时间内以书面形式通知</w:t>
      </w:r>
      <w:r>
        <w:rPr>
          <w:rFonts w:hint="eastAsia" w:asciiTheme="minorEastAsia" w:hAnsiTheme="minorEastAsia" w:eastAsiaTheme="minorEastAsia"/>
          <w:color w:val="auto"/>
          <w:sz w:val="24"/>
          <w:highlight w:val="none"/>
        </w:rPr>
        <w:t>对</w:t>
      </w:r>
      <w:r>
        <w:rPr>
          <w:rFonts w:asciiTheme="minorEastAsia" w:hAnsiTheme="minorEastAsia" w:eastAsiaTheme="minorEastAsia"/>
          <w:color w:val="auto"/>
          <w:sz w:val="24"/>
          <w:highlight w:val="none"/>
        </w:rPr>
        <w:t>方当事人，并在</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约定时间内，将有关部门出具的证明文件送达</w:t>
      </w:r>
      <w:r>
        <w:rPr>
          <w:rFonts w:hint="eastAsia" w:asciiTheme="minorEastAsia" w:hAnsiTheme="minorEastAsia" w:eastAsiaTheme="minorEastAsia"/>
          <w:color w:val="auto"/>
          <w:sz w:val="24"/>
          <w:highlight w:val="none"/>
        </w:rPr>
        <w:t>对方当事人</w:t>
      </w:r>
      <w:r>
        <w:rPr>
          <w:rFonts w:asciiTheme="minorEastAsia" w:hAnsiTheme="minorEastAsia" w:eastAsiaTheme="minorEastAsia"/>
          <w:color w:val="auto"/>
          <w:sz w:val="24"/>
          <w:highlight w:val="none"/>
        </w:rPr>
        <w:t>。</w:t>
      </w:r>
    </w:p>
    <w:p w14:paraId="2AD57BE7">
      <w:pPr>
        <w:spacing w:line="360" w:lineRule="auto"/>
        <w:ind w:firstLine="437"/>
        <w:outlineLvl w:val="3"/>
        <w:rPr>
          <w:rFonts w:asciiTheme="minorEastAsia" w:hAnsiTheme="minorEastAsia" w:eastAsiaTheme="minorEastAsia"/>
          <w:b/>
          <w:bCs/>
          <w:color w:val="auto"/>
          <w:sz w:val="24"/>
          <w:highlight w:val="none"/>
          <w:lang w:val="zh-CN"/>
        </w:rPr>
      </w:pPr>
      <w:bookmarkStart w:id="191" w:name="_Toc259093684"/>
      <w:bookmarkStart w:id="192" w:name="_Toc487900365"/>
      <w:bookmarkStart w:id="193" w:name="_Toc689"/>
      <w:bookmarkStart w:id="194" w:name="_Toc6969"/>
      <w:bookmarkStart w:id="195" w:name="_Toc30676"/>
      <w:bookmarkStart w:id="196" w:name="_Toc279701255"/>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1</w:t>
      </w:r>
      <w:r>
        <w:rPr>
          <w:rFonts w:hint="eastAsia" w:asciiTheme="minorEastAsia" w:hAnsiTheme="minorEastAsia" w:eastAsiaTheme="minorEastAsia"/>
          <w:b/>
          <w:bCs/>
          <w:color w:val="auto"/>
          <w:sz w:val="24"/>
          <w:highlight w:val="none"/>
          <w:lang w:val="zh-CN"/>
        </w:rPr>
        <w:t xml:space="preserve">4 </w:t>
      </w:r>
      <w:r>
        <w:rPr>
          <w:rFonts w:asciiTheme="minorEastAsia" w:hAnsiTheme="minorEastAsia" w:eastAsiaTheme="minorEastAsia"/>
          <w:b/>
          <w:bCs/>
          <w:color w:val="auto"/>
          <w:sz w:val="24"/>
          <w:highlight w:val="none"/>
          <w:lang w:val="zh-CN"/>
        </w:rPr>
        <w:t>税费</w:t>
      </w:r>
      <w:bookmarkEnd w:id="191"/>
      <w:bookmarkEnd w:id="192"/>
      <w:bookmarkEnd w:id="193"/>
      <w:bookmarkEnd w:id="194"/>
      <w:bookmarkEnd w:id="195"/>
      <w:bookmarkEnd w:id="196"/>
    </w:p>
    <w:p w14:paraId="23348DD4">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与合同有关的一切税费</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均按照中华人民共和国法律的相关规定</w:t>
      </w:r>
      <w:r>
        <w:rPr>
          <w:rFonts w:hint="eastAsia" w:asciiTheme="minorEastAsia" w:hAnsiTheme="minorEastAsia" w:eastAsiaTheme="minorEastAsia"/>
          <w:color w:val="auto"/>
          <w:sz w:val="24"/>
          <w:highlight w:val="none"/>
        </w:rPr>
        <w:t>缴纳</w:t>
      </w:r>
      <w:r>
        <w:rPr>
          <w:rFonts w:asciiTheme="minorEastAsia" w:hAnsiTheme="minorEastAsia" w:eastAsiaTheme="minorEastAsia"/>
          <w:color w:val="auto"/>
          <w:sz w:val="24"/>
          <w:highlight w:val="none"/>
        </w:rPr>
        <w:t>。</w:t>
      </w:r>
    </w:p>
    <w:p w14:paraId="5AAB6D1A">
      <w:pPr>
        <w:spacing w:line="360" w:lineRule="auto"/>
        <w:ind w:firstLine="437"/>
        <w:outlineLvl w:val="3"/>
        <w:rPr>
          <w:rFonts w:asciiTheme="minorEastAsia" w:hAnsiTheme="minorEastAsia" w:eastAsiaTheme="minorEastAsia"/>
          <w:b/>
          <w:bCs/>
          <w:color w:val="auto"/>
          <w:sz w:val="24"/>
          <w:highlight w:val="none"/>
          <w:lang w:val="zh-CN"/>
        </w:rPr>
      </w:pPr>
      <w:bookmarkStart w:id="197" w:name="_Toc16959"/>
      <w:bookmarkStart w:id="198" w:name="_Toc7102"/>
      <w:bookmarkStart w:id="199" w:name="_Toc259093687"/>
      <w:bookmarkStart w:id="200" w:name="_Toc487900368"/>
      <w:bookmarkStart w:id="201" w:name="_Toc279701258"/>
      <w:bookmarkStart w:id="202" w:name="_Toc8298"/>
      <w:r>
        <w:rPr>
          <w:rFonts w:hint="eastAsia" w:asciiTheme="minorEastAsia" w:hAnsiTheme="minorEastAsia" w:eastAsiaTheme="minorEastAsia"/>
          <w:b/>
          <w:bCs/>
          <w:color w:val="auto"/>
          <w:sz w:val="24"/>
          <w:highlight w:val="none"/>
          <w:lang w:val="zh-CN"/>
        </w:rPr>
        <w:t>2.</w:t>
      </w:r>
      <w:r>
        <w:rPr>
          <w:rFonts w:asciiTheme="minorEastAsia" w:hAnsiTheme="minorEastAsia" w:eastAsiaTheme="minorEastAsia"/>
          <w:b/>
          <w:bCs/>
          <w:color w:val="auto"/>
          <w:sz w:val="24"/>
          <w:highlight w:val="none"/>
          <w:lang w:val="zh-CN"/>
        </w:rPr>
        <w:t>1</w:t>
      </w:r>
      <w:r>
        <w:rPr>
          <w:rFonts w:hint="eastAsia" w:asciiTheme="minorEastAsia" w:hAnsiTheme="minorEastAsia" w:eastAsiaTheme="minorEastAsia"/>
          <w:b/>
          <w:bCs/>
          <w:color w:val="auto"/>
          <w:sz w:val="24"/>
          <w:highlight w:val="none"/>
          <w:lang w:val="zh-CN"/>
        </w:rPr>
        <w:t xml:space="preserve">5 </w:t>
      </w:r>
      <w:r>
        <w:rPr>
          <w:rFonts w:asciiTheme="minorEastAsia" w:hAnsiTheme="minorEastAsia" w:eastAsiaTheme="minorEastAsia"/>
          <w:b/>
          <w:bCs/>
          <w:color w:val="auto"/>
          <w:sz w:val="24"/>
          <w:highlight w:val="none"/>
          <w:lang w:val="zh-CN"/>
        </w:rPr>
        <w:t>乙方破产</w:t>
      </w:r>
      <w:bookmarkEnd w:id="197"/>
      <w:bookmarkEnd w:id="198"/>
      <w:bookmarkEnd w:id="199"/>
      <w:bookmarkEnd w:id="200"/>
      <w:bookmarkEnd w:id="201"/>
      <w:bookmarkEnd w:id="202"/>
    </w:p>
    <w:p w14:paraId="1FA01E0A">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如果乙方破产导致合同无法履行时，甲方可以书面形式通知乙方终止合同且不给予乙方任何补偿和赔偿</w:t>
      </w:r>
      <w:r>
        <w:rPr>
          <w:rFonts w:hint="eastAsia" w:asciiTheme="minorEastAsia" w:hAnsiTheme="minorEastAsia" w:eastAsiaTheme="minorEastAsia"/>
          <w:color w:val="auto"/>
          <w:sz w:val="24"/>
          <w:highlight w:val="none"/>
        </w:rPr>
        <w:t>，但合同的</w:t>
      </w:r>
      <w:r>
        <w:rPr>
          <w:rFonts w:asciiTheme="minorEastAsia" w:hAnsiTheme="minorEastAsia" w:eastAsiaTheme="minorEastAsia"/>
          <w:color w:val="auto"/>
          <w:sz w:val="24"/>
          <w:highlight w:val="none"/>
        </w:rPr>
        <w:t>终止不损害或不影响甲方已经采取或将要采取的任何要求乙方支付违约金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赔偿损失等的行动或补救措施的权利</w:t>
      </w:r>
      <w:r>
        <w:rPr>
          <w:rFonts w:hint="eastAsia" w:asciiTheme="minorEastAsia" w:hAnsiTheme="minorEastAsia" w:eastAsiaTheme="minorEastAsia"/>
          <w:color w:val="auto"/>
          <w:sz w:val="24"/>
          <w:highlight w:val="none"/>
        </w:rPr>
        <w:t>。</w:t>
      </w:r>
    </w:p>
    <w:p w14:paraId="24FF58D9">
      <w:pPr>
        <w:spacing w:line="360" w:lineRule="auto"/>
        <w:ind w:firstLine="437"/>
        <w:outlineLvl w:val="3"/>
        <w:rPr>
          <w:rFonts w:asciiTheme="minorEastAsia" w:hAnsiTheme="minorEastAsia" w:eastAsiaTheme="minorEastAsia"/>
          <w:b/>
          <w:color w:val="auto"/>
          <w:sz w:val="24"/>
          <w:highlight w:val="none"/>
        </w:rPr>
      </w:pPr>
      <w:bookmarkStart w:id="203" w:name="_Toc15387"/>
      <w:bookmarkStart w:id="204" w:name="_Toc6134"/>
      <w:bookmarkStart w:id="205" w:name="_Toc29333"/>
      <w:r>
        <w:rPr>
          <w:rFonts w:hint="eastAsia" w:asciiTheme="minorEastAsia" w:hAnsiTheme="minorEastAsia" w:eastAsiaTheme="minorEastAsia"/>
          <w:b/>
          <w:bCs/>
          <w:color w:val="auto"/>
          <w:sz w:val="24"/>
          <w:highlight w:val="none"/>
          <w:lang w:val="zh-CN"/>
        </w:rPr>
        <w:t>2.16 合同中止、终止</w:t>
      </w:r>
      <w:bookmarkEnd w:id="203"/>
      <w:bookmarkEnd w:id="204"/>
      <w:bookmarkEnd w:id="205"/>
    </w:p>
    <w:p w14:paraId="14185CC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2.16.1双方当事人不得擅自中止或者终止合同；</w:t>
      </w:r>
    </w:p>
    <w:p w14:paraId="66F88E0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2.16.2合同继续履行将损害国家利益和社会公共利益的，双方当事人应当中止或者终止合同。有过错的一方应当承担赔偿责任，双方当事人都有过错的，各自承担相应的责任。</w:t>
      </w:r>
    </w:p>
    <w:p w14:paraId="296091FB">
      <w:pPr>
        <w:spacing w:line="360" w:lineRule="auto"/>
        <w:ind w:firstLine="437"/>
        <w:outlineLvl w:val="3"/>
        <w:rPr>
          <w:rFonts w:asciiTheme="minorEastAsia" w:hAnsiTheme="minorEastAsia" w:eastAsiaTheme="minorEastAsia"/>
          <w:b/>
          <w:bCs/>
          <w:color w:val="auto"/>
          <w:sz w:val="24"/>
          <w:highlight w:val="none"/>
          <w:lang w:val="zh-CN"/>
        </w:rPr>
      </w:pPr>
      <w:bookmarkStart w:id="206" w:name="_Toc6596"/>
      <w:bookmarkStart w:id="207" w:name="_Toc1125"/>
      <w:bookmarkStart w:id="208" w:name="_Toc14563"/>
      <w:r>
        <w:rPr>
          <w:rFonts w:hint="eastAsia" w:asciiTheme="minorEastAsia" w:hAnsiTheme="minorEastAsia" w:eastAsiaTheme="minorEastAsia"/>
          <w:b/>
          <w:bCs/>
          <w:color w:val="auto"/>
          <w:sz w:val="24"/>
          <w:highlight w:val="none"/>
          <w:lang w:val="zh-CN"/>
        </w:rPr>
        <w:t>2.17 检验和验收</w:t>
      </w:r>
      <w:bookmarkEnd w:id="206"/>
      <w:bookmarkEnd w:id="207"/>
      <w:bookmarkEnd w:id="208"/>
    </w:p>
    <w:p w14:paraId="02B87DB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w:t>
      </w:r>
      <w:r>
        <w:rPr>
          <w:rFonts w:hint="eastAsia" w:asciiTheme="minorEastAsia" w:hAnsiTheme="minorEastAsia" w:eastAsiaTheme="minorEastAsia"/>
          <w:color w:val="auto"/>
          <w:sz w:val="24"/>
          <w:highlight w:val="none"/>
        </w:rPr>
        <w:t>7</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1货物交付前，乙方应对货物的质量、数量等方面进行详细、全面的检验，并向甲方出具证明货物符合合同约定的文件；货物交付时，乙方在</w:t>
      </w:r>
      <w:r>
        <w:rPr>
          <w:rFonts w:hint="eastAsia"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color w:val="auto"/>
          <w:sz w:val="24"/>
          <w:highlight w:val="none"/>
        </w:rPr>
        <w:t>约定时间内组织验收，并可依法邀请相关方参加，验收应出具验收书。</w:t>
      </w:r>
    </w:p>
    <w:p w14:paraId="2C2713D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2.17.2合同期满或者履行完毕后，甲方有权组织（包括依法邀请国家认可的质量检测机构参加）对乙方履约的验收，即：按照合同约定的技术、服务、安全标准，组织对每一项技术、服务、安全标准的履约情况的验收，并出具验收书。</w:t>
      </w:r>
    </w:p>
    <w:p w14:paraId="5806204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2.17.3检验和验收标准、程序等具体内容以及前述验收书的效力详见</w:t>
      </w:r>
      <w:r>
        <w:rPr>
          <w:rFonts w:asciiTheme="minorEastAsia" w:hAnsiTheme="minorEastAsia" w:eastAsiaTheme="minorEastAsia"/>
          <w:b/>
          <w:i/>
          <w:color w:val="auto"/>
          <w:sz w:val="24"/>
          <w:highlight w:val="none"/>
          <w:u w:val="single"/>
        </w:rPr>
        <w:t>合同专用条款</w:t>
      </w:r>
      <w:r>
        <w:rPr>
          <w:rFonts w:hint="eastAsia" w:asciiTheme="minorEastAsia" w:hAnsiTheme="minorEastAsia" w:eastAsiaTheme="minorEastAsia"/>
          <w:i/>
          <w:color w:val="auto"/>
          <w:sz w:val="24"/>
          <w:highlight w:val="none"/>
        </w:rPr>
        <w:t>。</w:t>
      </w:r>
    </w:p>
    <w:bookmarkEnd w:id="178"/>
    <w:bookmarkEnd w:id="179"/>
    <w:bookmarkEnd w:id="180"/>
    <w:bookmarkEnd w:id="181"/>
    <w:p w14:paraId="6FD8A597">
      <w:pPr>
        <w:spacing w:line="360" w:lineRule="auto"/>
        <w:ind w:firstLine="437"/>
        <w:outlineLvl w:val="3"/>
        <w:rPr>
          <w:rFonts w:asciiTheme="minorEastAsia" w:hAnsiTheme="minorEastAsia" w:eastAsiaTheme="minorEastAsia"/>
          <w:b/>
          <w:color w:val="auto"/>
          <w:sz w:val="24"/>
          <w:highlight w:val="none"/>
        </w:rPr>
      </w:pPr>
      <w:bookmarkStart w:id="209" w:name="_Toc30599"/>
      <w:bookmarkStart w:id="210" w:name="_Toc259093691"/>
      <w:bookmarkStart w:id="211" w:name="_Toc487900372"/>
      <w:bookmarkStart w:id="212" w:name="_Toc4355"/>
      <w:bookmarkStart w:id="213" w:name="_Toc18540"/>
      <w:bookmarkStart w:id="214" w:name="_Toc279701262"/>
      <w:r>
        <w:rPr>
          <w:rFonts w:hint="eastAsia" w:asciiTheme="minorEastAsia" w:hAnsiTheme="minorEastAsia" w:eastAsiaTheme="minorEastAsia"/>
          <w:b/>
          <w:bCs/>
          <w:color w:val="auto"/>
          <w:sz w:val="24"/>
          <w:highlight w:val="none"/>
          <w:lang w:val="zh-CN"/>
        </w:rPr>
        <w:t>2.1</w:t>
      </w:r>
      <w:r>
        <w:rPr>
          <w:rFonts w:asciiTheme="minorEastAsia" w:hAnsiTheme="minorEastAsia" w:eastAsiaTheme="minorEastAsia"/>
          <w:b/>
          <w:bCs/>
          <w:color w:val="auto"/>
          <w:sz w:val="24"/>
          <w:highlight w:val="none"/>
          <w:lang w:val="zh-CN"/>
        </w:rPr>
        <w:t>8</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计量单位</w:t>
      </w:r>
      <w:bookmarkEnd w:id="209"/>
      <w:bookmarkEnd w:id="210"/>
      <w:bookmarkEnd w:id="211"/>
      <w:bookmarkEnd w:id="212"/>
      <w:bookmarkEnd w:id="213"/>
      <w:bookmarkEnd w:id="214"/>
    </w:p>
    <w:p w14:paraId="49EE4FEC">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除技术规范中另有规定外</w:t>
      </w:r>
      <w:r>
        <w:rPr>
          <w:rFonts w:hint="eastAsia" w:asciiTheme="minorEastAsia" w:hAnsiTheme="minorEastAsia" w:eastAsiaTheme="minorEastAsia"/>
          <w:color w:val="auto"/>
          <w:sz w:val="24"/>
          <w:highlight w:val="none"/>
          <w:lang w:eastAsia="zh-CN"/>
        </w:rPr>
        <w:t>，</w:t>
      </w:r>
      <w:r>
        <w:rPr>
          <w:rFonts w:asciiTheme="minorEastAsia" w:hAnsiTheme="minorEastAsia" w:eastAsiaTheme="minorEastAsia"/>
          <w:color w:val="auto"/>
          <w:sz w:val="24"/>
          <w:highlight w:val="none"/>
        </w:rPr>
        <w:t>合同的计量单位均使用国家法定计量单位。</w:t>
      </w:r>
    </w:p>
    <w:p w14:paraId="79E45849">
      <w:pPr>
        <w:spacing w:line="360" w:lineRule="auto"/>
        <w:ind w:firstLine="437"/>
        <w:outlineLvl w:val="3"/>
        <w:rPr>
          <w:rFonts w:asciiTheme="minorEastAsia" w:hAnsiTheme="minorEastAsia" w:eastAsiaTheme="minorEastAsia"/>
          <w:b/>
          <w:bCs/>
          <w:color w:val="auto"/>
          <w:sz w:val="24"/>
          <w:highlight w:val="none"/>
        </w:rPr>
      </w:pPr>
      <w:bookmarkStart w:id="215" w:name="_Toc279701263"/>
      <w:bookmarkStart w:id="216" w:name="_Toc259093692"/>
      <w:bookmarkStart w:id="217" w:name="_Toc10330"/>
      <w:bookmarkStart w:id="218" w:name="_Toc487900373"/>
      <w:bookmarkStart w:id="219" w:name="_Toc12773"/>
      <w:bookmarkStart w:id="220" w:name="_Toc18567"/>
      <w:r>
        <w:rPr>
          <w:rFonts w:hint="eastAsia" w:asciiTheme="minorEastAsia" w:hAnsiTheme="minorEastAsia" w:eastAsiaTheme="minorEastAsia"/>
          <w:b/>
          <w:bCs/>
          <w:color w:val="auto"/>
          <w:sz w:val="24"/>
          <w:highlight w:val="none"/>
        </w:rPr>
        <w:t>2.</w:t>
      </w:r>
      <w:r>
        <w:rPr>
          <w:rFonts w:asciiTheme="minorEastAsia" w:hAnsiTheme="minorEastAsia" w:eastAsiaTheme="minorEastAsia"/>
          <w:b/>
          <w:bCs/>
          <w:color w:val="auto"/>
          <w:sz w:val="24"/>
          <w:highlight w:val="none"/>
        </w:rPr>
        <w:t>19</w:t>
      </w:r>
      <w:r>
        <w:rPr>
          <w:rFonts w:hint="eastAsia" w:asciiTheme="minorEastAsia" w:hAnsiTheme="minorEastAsia" w:eastAsiaTheme="minorEastAsia"/>
          <w:b/>
          <w:bCs/>
          <w:color w:val="auto"/>
          <w:sz w:val="24"/>
          <w:highlight w:val="none"/>
        </w:rPr>
        <w:t xml:space="preserve"> </w:t>
      </w:r>
      <w:r>
        <w:rPr>
          <w:rFonts w:hint="eastAsia" w:asciiTheme="minorEastAsia" w:hAnsiTheme="minorEastAsia" w:eastAsiaTheme="minorEastAsia"/>
          <w:b/>
          <w:bCs/>
          <w:color w:val="auto"/>
          <w:sz w:val="24"/>
          <w:highlight w:val="none"/>
          <w:lang w:val="zh-CN"/>
        </w:rPr>
        <w:t>合同使用的文字和</w:t>
      </w:r>
      <w:r>
        <w:rPr>
          <w:rFonts w:asciiTheme="minorEastAsia" w:hAnsiTheme="minorEastAsia" w:eastAsiaTheme="minorEastAsia"/>
          <w:b/>
          <w:bCs/>
          <w:color w:val="auto"/>
          <w:sz w:val="24"/>
          <w:highlight w:val="none"/>
          <w:lang w:val="zh-CN"/>
        </w:rPr>
        <w:t>适用的法律</w:t>
      </w:r>
      <w:bookmarkEnd w:id="215"/>
      <w:bookmarkEnd w:id="216"/>
      <w:bookmarkEnd w:id="217"/>
      <w:bookmarkEnd w:id="218"/>
      <w:bookmarkEnd w:id="219"/>
      <w:bookmarkEnd w:id="220"/>
    </w:p>
    <w:p w14:paraId="52EF17A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19.1合同使用汉语</w:t>
      </w:r>
      <w:r>
        <w:rPr>
          <w:rFonts w:hint="eastAsia" w:asciiTheme="minorEastAsia" w:hAnsiTheme="minorEastAsia" w:eastAsiaTheme="minorEastAsia"/>
          <w:color w:val="auto"/>
          <w:sz w:val="24"/>
          <w:highlight w:val="none"/>
          <w:lang w:eastAsia="zh-CN"/>
        </w:rPr>
        <w:t>书写</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变更和解释</w:t>
      </w:r>
      <w:r>
        <w:rPr>
          <w:rFonts w:hint="eastAsia" w:asciiTheme="minorEastAsia" w:hAnsiTheme="minorEastAsia" w:eastAsiaTheme="minorEastAsia"/>
          <w:color w:val="auto"/>
          <w:sz w:val="24"/>
          <w:highlight w:val="none"/>
        </w:rPr>
        <w:t>；</w:t>
      </w:r>
    </w:p>
    <w:p w14:paraId="0464E98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19</w:t>
      </w:r>
      <w:r>
        <w:rPr>
          <w:rFonts w:hint="eastAsia" w:asciiTheme="minorEastAsia" w:hAnsiTheme="minorEastAsia" w:eastAsiaTheme="minorEastAsia"/>
          <w:color w:val="auto"/>
          <w:sz w:val="24"/>
          <w:highlight w:val="none"/>
        </w:rPr>
        <w:t>.2合同适用</w:t>
      </w:r>
      <w:r>
        <w:rPr>
          <w:rFonts w:asciiTheme="minorEastAsia" w:hAnsiTheme="minorEastAsia" w:eastAsiaTheme="minorEastAsia"/>
          <w:color w:val="auto"/>
          <w:sz w:val="24"/>
          <w:highlight w:val="none"/>
        </w:rPr>
        <w:t>中华人民共和国法律。</w:t>
      </w:r>
    </w:p>
    <w:p w14:paraId="17BC5A4F">
      <w:pPr>
        <w:spacing w:line="360" w:lineRule="auto"/>
        <w:ind w:firstLine="437"/>
        <w:outlineLvl w:val="3"/>
        <w:rPr>
          <w:rFonts w:asciiTheme="minorEastAsia" w:hAnsiTheme="minorEastAsia" w:eastAsiaTheme="minorEastAsia"/>
          <w:b/>
          <w:color w:val="auto"/>
          <w:sz w:val="24"/>
          <w:highlight w:val="none"/>
        </w:rPr>
      </w:pPr>
      <w:bookmarkStart w:id="221" w:name="_Toc279701264"/>
      <w:bookmarkStart w:id="222" w:name="_Toc259093693"/>
      <w:bookmarkStart w:id="223" w:name="_Toc12004"/>
      <w:bookmarkStart w:id="224" w:name="_Toc16673"/>
      <w:bookmarkStart w:id="225" w:name="_Toc3148"/>
      <w:bookmarkStart w:id="226" w:name="_Toc487900374"/>
      <w:r>
        <w:rPr>
          <w:rFonts w:hint="eastAsia" w:asciiTheme="minorEastAsia" w:hAnsiTheme="minorEastAsia" w:eastAsiaTheme="minorEastAsia"/>
          <w:b/>
          <w:bCs/>
          <w:color w:val="auto"/>
          <w:sz w:val="24"/>
          <w:highlight w:val="none"/>
          <w:lang w:val="zh-CN"/>
        </w:rPr>
        <w:t>2.2</w:t>
      </w:r>
      <w:r>
        <w:rPr>
          <w:rFonts w:asciiTheme="minorEastAsia" w:hAnsiTheme="minorEastAsia" w:eastAsiaTheme="minorEastAsia"/>
          <w:b/>
          <w:bCs/>
          <w:color w:val="auto"/>
          <w:sz w:val="24"/>
          <w:highlight w:val="none"/>
          <w:lang w:val="zh-CN"/>
        </w:rPr>
        <w:t>0</w:t>
      </w:r>
      <w:r>
        <w:rPr>
          <w:rFonts w:hint="eastAsia" w:asciiTheme="minorEastAsia" w:hAnsiTheme="minorEastAsia" w:eastAsiaTheme="minorEastAsia"/>
          <w:b/>
          <w:bCs/>
          <w:color w:val="auto"/>
          <w:sz w:val="24"/>
          <w:highlight w:val="none"/>
          <w:lang w:val="zh-CN"/>
        </w:rPr>
        <w:t xml:space="preserve"> </w:t>
      </w:r>
      <w:r>
        <w:rPr>
          <w:rFonts w:asciiTheme="minorEastAsia" w:hAnsiTheme="minorEastAsia" w:eastAsiaTheme="minorEastAsia"/>
          <w:b/>
          <w:bCs/>
          <w:color w:val="auto"/>
          <w:sz w:val="24"/>
          <w:highlight w:val="none"/>
          <w:lang w:val="zh-CN"/>
        </w:rPr>
        <w:t>履约保证金</w:t>
      </w:r>
      <w:bookmarkEnd w:id="221"/>
      <w:bookmarkEnd w:id="222"/>
      <w:bookmarkEnd w:id="223"/>
      <w:bookmarkEnd w:id="224"/>
      <w:bookmarkEnd w:id="225"/>
    </w:p>
    <w:p w14:paraId="5EF7C5E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2.2</w:t>
      </w:r>
      <w:r>
        <w:rPr>
          <w:rFonts w:asciiTheme="minorEastAsia" w:hAnsiTheme="minorEastAsia" w:eastAsiaTheme="minorEastAsia"/>
          <w:color w:val="auto"/>
          <w:sz w:val="24"/>
          <w:highlight w:val="none"/>
        </w:rPr>
        <w:t>0</w:t>
      </w:r>
      <w:r>
        <w:rPr>
          <w:rFonts w:hint="eastAsia" w:asciiTheme="minorEastAsia" w:hAnsiTheme="minorEastAsia" w:eastAsiaTheme="minorEastAsia"/>
          <w:color w:val="auto"/>
          <w:sz w:val="24"/>
          <w:highlight w:val="none"/>
        </w:rPr>
        <w:t>.1采购文件要求乙方提交履约保证金的，乙方</w:t>
      </w:r>
      <w:r>
        <w:rPr>
          <w:rFonts w:asciiTheme="minorEastAsia" w:hAnsiTheme="minorEastAsia" w:eastAsiaTheme="minorEastAsia"/>
          <w:color w:val="auto"/>
          <w:sz w:val="24"/>
          <w:highlight w:val="none"/>
        </w:rPr>
        <w:t>应按</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约定的方式</w:t>
      </w:r>
      <w:r>
        <w:rPr>
          <w:rFonts w:hint="eastAsia" w:asciiTheme="minorEastAsia" w:hAnsiTheme="minorEastAsia" w:eastAsiaTheme="minorEastAsia"/>
          <w:color w:val="auto"/>
          <w:sz w:val="24"/>
          <w:highlight w:val="none"/>
        </w:rPr>
        <w:t>，以支票、汇票、本票或者金融机构、担保机构出具的保函等非现金形式，提交不超过合同价</w:t>
      </w:r>
      <w:r>
        <w:rPr>
          <w:rFonts w:hint="eastAsia" w:asciiTheme="minorEastAsia" w:hAnsiTheme="minorEastAsia" w:eastAsiaTheme="minorEastAsia"/>
          <w:color w:val="auto"/>
          <w:sz w:val="24"/>
          <w:highlight w:val="none"/>
          <w:lang w:val="en-US" w:eastAsia="zh-CN"/>
        </w:rPr>
        <w:t>2.5</w:t>
      </w:r>
      <w:r>
        <w:rPr>
          <w:rFonts w:hint="eastAsia" w:asciiTheme="minorEastAsia" w:hAnsiTheme="minorEastAsia" w:eastAsiaTheme="minorEastAsia"/>
          <w:color w:val="auto"/>
          <w:sz w:val="24"/>
          <w:highlight w:val="none"/>
        </w:rPr>
        <w:t>%的履约保证金；</w:t>
      </w:r>
    </w:p>
    <w:p w14:paraId="7E67B69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2.2</w:t>
      </w:r>
      <w:r>
        <w:rPr>
          <w:rFonts w:asciiTheme="minorEastAsia" w:hAnsiTheme="minorEastAsia" w:eastAsiaTheme="minorEastAsia"/>
          <w:color w:val="auto"/>
          <w:sz w:val="24"/>
          <w:highlight w:val="none"/>
        </w:rPr>
        <w:t>0.2履约保证金</w:t>
      </w:r>
      <w:r>
        <w:rPr>
          <w:rFonts w:hint="eastAsia" w:asciiTheme="minorEastAsia" w:hAnsiTheme="minorEastAsia" w:eastAsiaTheme="minorEastAsia"/>
          <w:color w:val="auto"/>
          <w:sz w:val="24"/>
          <w:highlight w:val="none"/>
          <w:lang w:val="en-US" w:eastAsia="zh-CN"/>
        </w:rPr>
        <w:t>按</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约定</w:t>
      </w:r>
      <w:r>
        <w:rPr>
          <w:rFonts w:hint="eastAsia" w:asciiTheme="minorEastAsia" w:hAnsiTheme="minorEastAsia" w:eastAsiaTheme="minorEastAsia"/>
          <w:color w:val="auto"/>
          <w:sz w:val="24"/>
          <w:highlight w:val="none"/>
          <w:lang w:val="en-US" w:eastAsia="zh-CN"/>
        </w:rPr>
        <w:t>的时间</w:t>
      </w:r>
      <w:r>
        <w:rPr>
          <w:rFonts w:asciiTheme="minorEastAsia" w:hAnsiTheme="minorEastAsia" w:eastAsiaTheme="minorEastAsia"/>
          <w:color w:val="auto"/>
          <w:sz w:val="24"/>
          <w:highlight w:val="none"/>
        </w:rPr>
        <w:t>退还乙方</w:t>
      </w:r>
      <w:r>
        <w:rPr>
          <w:rFonts w:hint="eastAsia" w:asciiTheme="minorEastAsia" w:hAnsiTheme="minorEastAsia" w:eastAsiaTheme="minorEastAsia"/>
          <w:color w:val="auto"/>
          <w:sz w:val="24"/>
          <w:highlight w:val="none"/>
        </w:rPr>
        <w:t>；</w:t>
      </w:r>
    </w:p>
    <w:p w14:paraId="172675E3">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2.2</w:t>
      </w:r>
      <w:r>
        <w:rPr>
          <w:rFonts w:asciiTheme="minorEastAsia" w:hAnsiTheme="minorEastAsia" w:eastAsiaTheme="minorEastAsia"/>
          <w:color w:val="auto"/>
          <w:sz w:val="24"/>
          <w:highlight w:val="none"/>
        </w:rPr>
        <w:t>0</w:t>
      </w: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如果乙方不履行合同</w:t>
      </w:r>
      <w:r>
        <w:rPr>
          <w:rFonts w:hint="eastAsia" w:asciiTheme="minorEastAsia" w:hAnsiTheme="minorEastAsia" w:eastAsiaTheme="minorEastAsia"/>
          <w:color w:val="auto"/>
          <w:sz w:val="24"/>
          <w:highlight w:val="none"/>
        </w:rPr>
        <w:t>，履约保证金不予退还；如果乙方</w:t>
      </w:r>
      <w:r>
        <w:rPr>
          <w:rFonts w:asciiTheme="minorEastAsia" w:hAnsiTheme="minorEastAsia" w:eastAsiaTheme="minorEastAsia"/>
          <w:color w:val="auto"/>
          <w:sz w:val="24"/>
          <w:highlight w:val="none"/>
        </w:rPr>
        <w:t>未能按合同</w:t>
      </w:r>
      <w:r>
        <w:rPr>
          <w:rFonts w:hint="eastAsia" w:asciiTheme="minorEastAsia" w:hAnsiTheme="minorEastAsia" w:eastAsiaTheme="minorEastAsia"/>
          <w:color w:val="auto"/>
          <w:sz w:val="24"/>
          <w:highlight w:val="none"/>
        </w:rPr>
        <w:t>约</w:t>
      </w:r>
      <w:r>
        <w:rPr>
          <w:rFonts w:asciiTheme="minorEastAsia" w:hAnsiTheme="minorEastAsia" w:eastAsiaTheme="minorEastAsia"/>
          <w:color w:val="auto"/>
          <w:sz w:val="24"/>
          <w:highlight w:val="none"/>
        </w:rPr>
        <w:t>定全面履行义务，那么甲方有权从履约保证金中取得补偿或赔偿</w:t>
      </w:r>
      <w:r>
        <w:rPr>
          <w:rFonts w:hint="eastAsia" w:asciiTheme="minorEastAsia" w:hAnsiTheme="minorEastAsia" w:eastAsiaTheme="minorEastAsia"/>
          <w:color w:val="auto"/>
          <w:sz w:val="24"/>
          <w:highlight w:val="none"/>
        </w:rPr>
        <w:t>，同时不影响甲方要求乙方承担合同约定的超过履约保证金的违约责任的权利。</w:t>
      </w:r>
    </w:p>
    <w:bookmarkEnd w:id="226"/>
    <w:p w14:paraId="55C2B585">
      <w:pPr>
        <w:spacing w:line="360" w:lineRule="auto"/>
        <w:ind w:firstLine="437"/>
        <w:outlineLvl w:val="3"/>
        <w:rPr>
          <w:rFonts w:asciiTheme="minorEastAsia" w:hAnsiTheme="minorEastAsia" w:eastAsiaTheme="minorEastAsia"/>
          <w:b/>
          <w:color w:val="auto"/>
          <w:sz w:val="24"/>
          <w:highlight w:val="none"/>
        </w:rPr>
      </w:pPr>
      <w:bookmarkStart w:id="227" w:name="_Toc14001"/>
      <w:bookmarkStart w:id="228" w:name="_Toc6885"/>
      <w:bookmarkStart w:id="229" w:name="_Toc19890"/>
      <w:r>
        <w:rPr>
          <w:rFonts w:hint="eastAsia" w:asciiTheme="minorEastAsia" w:hAnsiTheme="minorEastAsia" w:eastAsiaTheme="minorEastAsia"/>
          <w:b/>
          <w:bCs/>
          <w:color w:val="auto"/>
          <w:sz w:val="24"/>
          <w:highlight w:val="none"/>
          <w:lang w:val="zh-CN"/>
        </w:rPr>
        <w:t>2.2</w:t>
      </w:r>
      <w:r>
        <w:rPr>
          <w:rFonts w:asciiTheme="minorEastAsia" w:hAnsiTheme="minorEastAsia" w:eastAsiaTheme="minorEastAsia"/>
          <w:b/>
          <w:bCs/>
          <w:color w:val="auto"/>
          <w:sz w:val="24"/>
          <w:highlight w:val="none"/>
          <w:lang w:val="zh-CN"/>
        </w:rPr>
        <w:t>1</w:t>
      </w:r>
      <w:r>
        <w:rPr>
          <w:rFonts w:hint="eastAsia" w:asciiTheme="minorEastAsia" w:hAnsiTheme="minorEastAsia" w:eastAsiaTheme="minorEastAsia"/>
          <w:b/>
          <w:bCs/>
          <w:color w:val="auto"/>
          <w:sz w:val="24"/>
          <w:highlight w:val="none"/>
          <w:lang w:val="zh-CN"/>
        </w:rPr>
        <w:t xml:space="preserve"> 合同份数</w:t>
      </w:r>
      <w:bookmarkEnd w:id="227"/>
      <w:bookmarkEnd w:id="228"/>
      <w:bookmarkEnd w:id="229"/>
    </w:p>
    <w:p w14:paraId="1B94ADD2">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合同份数按</w:t>
      </w:r>
      <w:r>
        <w:rPr>
          <w:rFonts w:asciiTheme="minorEastAsia" w:hAnsiTheme="minorEastAsia" w:eastAsiaTheme="minorEastAsia"/>
          <w:b/>
          <w:i/>
          <w:color w:val="auto"/>
          <w:sz w:val="24"/>
          <w:highlight w:val="none"/>
          <w:u w:val="single"/>
        </w:rPr>
        <w:t>合同专用条款</w:t>
      </w:r>
      <w:r>
        <w:rPr>
          <w:rFonts w:asciiTheme="minorEastAsia" w:hAnsiTheme="minorEastAsia" w:eastAsiaTheme="minorEastAsia"/>
          <w:color w:val="auto"/>
          <w:sz w:val="24"/>
          <w:highlight w:val="none"/>
        </w:rPr>
        <w:t>规定</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每份均具有同等法律效力</w:t>
      </w:r>
      <w:r>
        <w:rPr>
          <w:rFonts w:hint="eastAsia" w:asciiTheme="minorEastAsia" w:hAnsiTheme="minorEastAsia" w:eastAsiaTheme="minorEastAsia"/>
          <w:color w:val="auto"/>
          <w:sz w:val="24"/>
          <w:highlight w:val="none"/>
        </w:rPr>
        <w:t>。</w:t>
      </w:r>
    </w:p>
    <w:p w14:paraId="6AD388B3">
      <w:pPr>
        <w:pStyle w:val="47"/>
        <w:rPr>
          <w:rFonts w:ascii="宋体" w:hAnsi="宋体" w:cs="宋体"/>
          <w:color w:val="auto"/>
          <w:szCs w:val="21"/>
          <w:highlight w:val="none"/>
        </w:rPr>
      </w:pPr>
      <w:r>
        <w:rPr>
          <w:rFonts w:asciiTheme="minorEastAsia" w:hAnsiTheme="minorEastAsia" w:eastAsiaTheme="minorEastAsia"/>
          <w:color w:val="auto"/>
          <w:sz w:val="24"/>
          <w:highlight w:val="none"/>
        </w:rPr>
        <w:br w:type="page"/>
      </w:r>
    </w:p>
    <w:p w14:paraId="3AEC431B">
      <w:pPr>
        <w:pStyle w:val="2"/>
        <w:tabs>
          <w:tab w:val="left" w:pos="1440"/>
          <w:tab w:val="left" w:pos="5670"/>
        </w:tabs>
        <w:spacing w:before="62" w:beforeLines="20" w:after="62" w:afterLines="20" w:line="480" w:lineRule="exact"/>
        <w:ind w:firstLine="0" w:firstLineChars="0"/>
        <w:jc w:val="center"/>
        <w:rPr>
          <w:rFonts w:ascii="Arial" w:hAnsi="Arial"/>
          <w:color w:val="auto"/>
          <w:kern w:val="2"/>
          <w:sz w:val="36"/>
          <w:szCs w:val="36"/>
          <w:highlight w:val="none"/>
        </w:rPr>
      </w:pPr>
      <w:bookmarkStart w:id="230" w:name="_Toc8981"/>
      <w:bookmarkStart w:id="231" w:name="_Toc54941341"/>
      <w:bookmarkStart w:id="232" w:name="_Toc1812"/>
      <w:bookmarkStart w:id="233" w:name="_Toc439316880"/>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234" w:name="_Toc417656001"/>
      <w:r>
        <w:rPr>
          <w:rFonts w:hint="eastAsia" w:ascii="Arial" w:hAnsi="Arial"/>
          <w:color w:val="auto"/>
          <w:kern w:val="2"/>
          <w:sz w:val="36"/>
          <w:szCs w:val="36"/>
          <w:highlight w:val="none"/>
        </w:rPr>
        <w:t>响应文件格式</w:t>
      </w:r>
      <w:bookmarkEnd w:id="230"/>
      <w:bookmarkEnd w:id="231"/>
      <w:bookmarkEnd w:id="232"/>
      <w:bookmarkEnd w:id="233"/>
      <w:bookmarkEnd w:id="234"/>
    </w:p>
    <w:p w14:paraId="662B6418">
      <w:pPr>
        <w:spacing w:line="360" w:lineRule="auto"/>
        <w:jc w:val="center"/>
        <w:rPr>
          <w:rFonts w:ascii="仿宋" w:hAnsi="仿宋" w:eastAsia="仿宋"/>
          <w:b/>
          <w:color w:val="auto"/>
          <w:spacing w:val="20"/>
          <w:sz w:val="36"/>
          <w:szCs w:val="36"/>
          <w:highlight w:val="none"/>
          <w:u w:val="single"/>
        </w:rPr>
      </w:pPr>
    </w:p>
    <w:p w14:paraId="7B61BE88">
      <w:pPr>
        <w:spacing w:line="360" w:lineRule="auto"/>
        <w:jc w:val="center"/>
        <w:rPr>
          <w:rFonts w:ascii="仿宋" w:hAnsi="仿宋" w:eastAsia="仿宋"/>
          <w:b/>
          <w:color w:val="auto"/>
          <w:spacing w:val="20"/>
          <w:sz w:val="36"/>
          <w:szCs w:val="36"/>
          <w:highlight w:val="none"/>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14:paraId="1CD4C289">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14:paraId="1BC6C8DC">
      <w:pPr>
        <w:spacing w:line="480" w:lineRule="auto"/>
        <w:jc w:val="center"/>
        <w:rPr>
          <w:rFonts w:ascii="宋体"/>
          <w:b/>
          <w:color w:val="auto"/>
          <w:sz w:val="72"/>
          <w:szCs w:val="72"/>
          <w:highlight w:val="none"/>
        </w:rPr>
      </w:pPr>
    </w:p>
    <w:p w14:paraId="43E429EB">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14:paraId="227C6356">
      <w:pPr>
        <w:spacing w:line="480" w:lineRule="auto"/>
        <w:jc w:val="center"/>
        <w:rPr>
          <w:rFonts w:ascii="宋体"/>
          <w:b/>
          <w:color w:val="auto"/>
          <w:sz w:val="72"/>
          <w:szCs w:val="72"/>
          <w:highlight w:val="none"/>
        </w:rPr>
      </w:pPr>
    </w:p>
    <w:p w14:paraId="49025147">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14:paraId="336DC0B7">
      <w:pPr>
        <w:spacing w:line="480" w:lineRule="auto"/>
        <w:jc w:val="center"/>
        <w:rPr>
          <w:rFonts w:ascii="宋体"/>
          <w:b/>
          <w:color w:val="auto"/>
          <w:sz w:val="72"/>
          <w:szCs w:val="72"/>
          <w:highlight w:val="none"/>
        </w:rPr>
      </w:pPr>
    </w:p>
    <w:p w14:paraId="75770D9D">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7CE20FB8">
      <w:pPr>
        <w:pStyle w:val="47"/>
        <w:ind w:left="0" w:leftChars="0" w:firstLine="0" w:firstLineChars="0"/>
        <w:rPr>
          <w:rFonts w:ascii="宋体"/>
          <w:color w:val="auto"/>
          <w:sz w:val="24"/>
          <w:highlight w:val="none"/>
        </w:rPr>
      </w:pPr>
    </w:p>
    <w:p w14:paraId="4291AA2D">
      <w:pPr>
        <w:spacing w:line="360" w:lineRule="auto"/>
        <w:rPr>
          <w:rFonts w:ascii="宋体"/>
          <w:color w:val="auto"/>
          <w:sz w:val="24"/>
          <w:highlight w:val="none"/>
        </w:rPr>
      </w:pPr>
    </w:p>
    <w:p w14:paraId="1324F98C">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3F5E9330">
      <w:pPr>
        <w:spacing w:line="360" w:lineRule="auto"/>
        <w:rPr>
          <w:rFonts w:ascii="仿宋_GB2312" w:eastAsia="仿宋_GB2312"/>
          <w:color w:val="auto"/>
          <w:sz w:val="30"/>
          <w:szCs w:val="30"/>
          <w:highlight w:val="none"/>
        </w:rPr>
      </w:pPr>
    </w:p>
    <w:p w14:paraId="2C36A165">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798700AF">
      <w:pPr>
        <w:spacing w:line="480" w:lineRule="exact"/>
        <w:jc w:val="center"/>
        <w:rPr>
          <w:rFonts w:ascii="宋体" w:hAnsi="宋体"/>
          <w:b/>
          <w:color w:val="auto"/>
          <w:sz w:val="30"/>
          <w:szCs w:val="30"/>
          <w:highlight w:val="none"/>
        </w:rPr>
      </w:pPr>
    </w:p>
    <w:p w14:paraId="296C828B">
      <w:pPr>
        <w:spacing w:line="480" w:lineRule="exact"/>
        <w:rPr>
          <w:rFonts w:ascii="黑体" w:eastAsia="黑体"/>
          <w:b/>
          <w:bCs/>
          <w:color w:val="auto"/>
          <w:szCs w:val="21"/>
          <w:highlight w:val="none"/>
        </w:rPr>
      </w:pPr>
    </w:p>
    <w:p w14:paraId="0981710E">
      <w:pPr>
        <w:rPr>
          <w:color w:val="auto"/>
          <w:highlight w:val="none"/>
        </w:rPr>
      </w:pPr>
    </w:p>
    <w:p w14:paraId="5060D741">
      <w:pPr>
        <w:rPr>
          <w:color w:val="auto"/>
          <w:highlight w:val="none"/>
        </w:rPr>
      </w:pPr>
    </w:p>
    <w:p w14:paraId="2BA191F7">
      <w:pPr>
        <w:jc w:val="center"/>
        <w:rPr>
          <w:rFonts w:hint="eastAsia" w:ascii="宋体" w:hAnsi="宋体" w:cs="宋体"/>
          <w:b/>
          <w:color w:val="auto"/>
          <w:sz w:val="32"/>
          <w:szCs w:val="32"/>
          <w:highlight w:val="none"/>
        </w:rPr>
      </w:pPr>
    </w:p>
    <w:p w14:paraId="03F22647">
      <w:pPr>
        <w:jc w:val="center"/>
        <w:rPr>
          <w:rFonts w:ascii="宋体" w:cs="宋体"/>
          <w:b/>
          <w:color w:val="auto"/>
          <w:sz w:val="32"/>
          <w:szCs w:val="32"/>
          <w:highlight w:val="none"/>
        </w:rPr>
      </w:pPr>
      <w:r>
        <w:rPr>
          <w:rFonts w:hint="eastAsia" w:ascii="宋体" w:hAnsi="宋体" w:cs="宋体"/>
          <w:b/>
          <w:color w:val="auto"/>
          <w:sz w:val="32"/>
          <w:szCs w:val="32"/>
          <w:highlight w:val="none"/>
        </w:rPr>
        <w:t>目</w:t>
      </w:r>
      <w:r>
        <w:rPr>
          <w:rFonts w:ascii="宋体" w:hAnsi="宋体" w:cs="宋体"/>
          <w:b/>
          <w:color w:val="auto"/>
          <w:sz w:val="32"/>
          <w:szCs w:val="32"/>
          <w:highlight w:val="none"/>
        </w:rPr>
        <w:t xml:space="preserve"> </w:t>
      </w:r>
      <w:r>
        <w:rPr>
          <w:rFonts w:hint="eastAsia" w:ascii="宋体" w:hAnsi="宋体" w:cs="宋体"/>
          <w:b/>
          <w:color w:val="auto"/>
          <w:sz w:val="32"/>
          <w:szCs w:val="32"/>
          <w:highlight w:val="none"/>
        </w:rPr>
        <w:t>录</w:t>
      </w:r>
    </w:p>
    <w:p w14:paraId="5888FA9E">
      <w:pPr>
        <w:pStyle w:val="47"/>
        <w:rPr>
          <w:rFonts w:hint="default"/>
          <w:color w:val="auto"/>
          <w:sz w:val="28"/>
          <w:szCs w:val="28"/>
          <w:highlight w:val="none"/>
          <w:lang w:val="en-US" w:eastAsia="zh-CN"/>
        </w:rPr>
      </w:pPr>
    </w:p>
    <w:p w14:paraId="487CA564">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14:paraId="642DF1C6">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14:paraId="620D7858">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14:paraId="32887404">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14:paraId="2FF99FFA">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lang w:val="en-US" w:eastAsia="zh-CN"/>
        </w:rPr>
        <w:t>供货及技术方案</w:t>
      </w:r>
    </w:p>
    <w:p w14:paraId="02433E24">
      <w:pPr>
        <w:rPr>
          <w:rFonts w:hint="eastAsia"/>
          <w:color w:val="auto"/>
          <w:sz w:val="28"/>
          <w:szCs w:val="28"/>
          <w:highlight w:val="none"/>
        </w:rPr>
      </w:pPr>
      <w:r>
        <w:rPr>
          <w:rFonts w:hint="eastAsia"/>
          <w:color w:val="auto"/>
          <w:sz w:val="28"/>
          <w:szCs w:val="28"/>
          <w:highlight w:val="none"/>
          <w:lang w:eastAsia="zh-CN"/>
        </w:rPr>
        <w:t>六、</w:t>
      </w:r>
      <w:r>
        <w:rPr>
          <w:rFonts w:hint="eastAsia"/>
          <w:color w:val="auto"/>
          <w:sz w:val="28"/>
          <w:szCs w:val="28"/>
          <w:highlight w:val="none"/>
        </w:rPr>
        <w:t>诚信响应承诺书</w:t>
      </w:r>
    </w:p>
    <w:p w14:paraId="3DE2DFAF">
      <w:pPr>
        <w:rPr>
          <w:rFonts w:hint="eastAsia"/>
          <w:color w:val="auto"/>
          <w:sz w:val="28"/>
          <w:szCs w:val="28"/>
          <w:highlight w:val="none"/>
        </w:rPr>
      </w:pPr>
      <w:r>
        <w:rPr>
          <w:rFonts w:hint="eastAsia"/>
          <w:color w:val="auto"/>
          <w:sz w:val="28"/>
          <w:szCs w:val="28"/>
          <w:highlight w:val="none"/>
          <w:lang w:eastAsia="zh-CN"/>
        </w:rPr>
        <w:t>七、</w:t>
      </w:r>
      <w:r>
        <w:rPr>
          <w:rFonts w:hint="eastAsia"/>
          <w:color w:val="auto"/>
          <w:sz w:val="28"/>
          <w:szCs w:val="28"/>
          <w:highlight w:val="none"/>
        </w:rPr>
        <w:t>中小企业声明函</w:t>
      </w:r>
    </w:p>
    <w:p w14:paraId="2E37E47B">
      <w:pPr>
        <w:rPr>
          <w:rFonts w:hint="eastAsia"/>
          <w:color w:val="auto"/>
          <w:sz w:val="28"/>
          <w:szCs w:val="28"/>
          <w:highlight w:val="none"/>
        </w:rPr>
      </w:pPr>
      <w:r>
        <w:rPr>
          <w:rFonts w:hint="eastAsia"/>
          <w:color w:val="auto"/>
          <w:sz w:val="28"/>
          <w:szCs w:val="28"/>
          <w:highlight w:val="none"/>
          <w:lang w:eastAsia="zh-CN"/>
        </w:rPr>
        <w:t>八、</w:t>
      </w:r>
      <w:r>
        <w:rPr>
          <w:rFonts w:hint="eastAsia"/>
          <w:color w:val="auto"/>
          <w:sz w:val="28"/>
          <w:szCs w:val="28"/>
          <w:highlight w:val="none"/>
        </w:rPr>
        <w:t>残疾人福利性单位声明函</w:t>
      </w:r>
    </w:p>
    <w:p w14:paraId="561DC794">
      <w:pPr>
        <w:rPr>
          <w:rFonts w:hint="eastAsia"/>
          <w:color w:val="auto"/>
          <w:sz w:val="28"/>
          <w:szCs w:val="28"/>
          <w:highlight w:val="none"/>
          <w:lang w:val="en-US" w:eastAsia="zh-CN"/>
        </w:rPr>
      </w:pPr>
      <w:r>
        <w:rPr>
          <w:rFonts w:hint="eastAsia"/>
          <w:color w:val="auto"/>
          <w:sz w:val="28"/>
          <w:szCs w:val="28"/>
          <w:highlight w:val="none"/>
          <w:lang w:eastAsia="zh-CN"/>
        </w:rPr>
        <w:t>九、</w:t>
      </w:r>
      <w:r>
        <w:rPr>
          <w:rFonts w:hint="eastAsia"/>
          <w:color w:val="auto"/>
          <w:sz w:val="28"/>
          <w:szCs w:val="28"/>
          <w:highlight w:val="none"/>
          <w:lang w:val="en-US" w:eastAsia="zh-CN"/>
        </w:rPr>
        <w:t>供应商声明函</w:t>
      </w:r>
    </w:p>
    <w:p w14:paraId="5F7F1769">
      <w:pPr>
        <w:rPr>
          <w:rFonts w:hint="default"/>
          <w:color w:val="auto"/>
          <w:sz w:val="28"/>
          <w:szCs w:val="28"/>
          <w:highlight w:val="none"/>
          <w:lang w:val="en-US" w:eastAsia="zh-CN"/>
        </w:rPr>
      </w:pPr>
      <w:r>
        <w:rPr>
          <w:rFonts w:hint="eastAsia"/>
          <w:color w:val="auto"/>
          <w:sz w:val="28"/>
          <w:szCs w:val="28"/>
          <w:highlight w:val="none"/>
          <w:lang w:eastAsia="zh-CN"/>
        </w:rPr>
        <w:t>十、</w:t>
      </w:r>
      <w:r>
        <w:rPr>
          <w:rFonts w:hint="eastAsia"/>
          <w:color w:val="auto"/>
          <w:sz w:val="28"/>
          <w:szCs w:val="28"/>
          <w:highlight w:val="none"/>
          <w:lang w:val="en-US" w:eastAsia="zh-CN"/>
        </w:rPr>
        <w:t>联合体协议</w:t>
      </w:r>
    </w:p>
    <w:p w14:paraId="67E40E6D">
      <w:pPr>
        <w:rPr>
          <w:rFonts w:hint="default"/>
          <w:color w:val="auto"/>
          <w:sz w:val="28"/>
          <w:szCs w:val="28"/>
          <w:highlight w:val="none"/>
          <w:lang w:val="en-US" w:eastAsia="zh-CN"/>
        </w:rPr>
      </w:pPr>
      <w:r>
        <w:rPr>
          <w:rFonts w:hint="eastAsia"/>
          <w:color w:val="auto"/>
          <w:sz w:val="28"/>
          <w:szCs w:val="28"/>
          <w:highlight w:val="none"/>
          <w:lang w:eastAsia="zh-CN"/>
        </w:rPr>
        <w:t>十一、</w:t>
      </w:r>
      <w:r>
        <w:rPr>
          <w:rFonts w:hint="eastAsia"/>
          <w:color w:val="auto"/>
          <w:sz w:val="28"/>
          <w:szCs w:val="28"/>
          <w:highlight w:val="none"/>
          <w:lang w:val="en-US" w:eastAsia="zh-CN"/>
        </w:rPr>
        <w:t>证明材料</w:t>
      </w:r>
    </w:p>
    <w:p w14:paraId="22DA454D">
      <w:pPr>
        <w:rPr>
          <w:rFonts w:hint="default"/>
          <w:color w:val="auto"/>
          <w:sz w:val="24"/>
          <w:szCs w:val="24"/>
          <w:highlight w:val="none"/>
          <w:lang w:val="en-US" w:eastAsia="zh-CN"/>
        </w:rPr>
      </w:pPr>
    </w:p>
    <w:p w14:paraId="30C63C0B">
      <w:pPr>
        <w:spacing w:line="480" w:lineRule="auto"/>
        <w:ind w:firstLine="480" w:firstLineChars="200"/>
        <w:rPr>
          <w:rFonts w:ascii="宋体" w:hAnsi="宋体" w:cs="宋体"/>
          <w:color w:val="auto"/>
          <w:sz w:val="24"/>
          <w:highlight w:val="none"/>
        </w:rPr>
      </w:pPr>
    </w:p>
    <w:p w14:paraId="3C85195D">
      <w:pPr>
        <w:pStyle w:val="47"/>
        <w:rPr>
          <w:rFonts w:ascii="宋体" w:hAnsi="宋体" w:cs="宋体"/>
          <w:color w:val="auto"/>
          <w:sz w:val="24"/>
          <w:highlight w:val="none"/>
        </w:rPr>
      </w:pPr>
    </w:p>
    <w:p w14:paraId="43A49AC0">
      <w:pPr>
        <w:pStyle w:val="47"/>
        <w:rPr>
          <w:rFonts w:ascii="宋体" w:hAnsi="宋体" w:cs="宋体"/>
          <w:color w:val="auto"/>
          <w:sz w:val="24"/>
          <w:highlight w:val="none"/>
        </w:rPr>
      </w:pPr>
    </w:p>
    <w:p w14:paraId="0C15103E">
      <w:pPr>
        <w:spacing w:line="480" w:lineRule="auto"/>
        <w:ind w:firstLine="480" w:firstLineChars="200"/>
        <w:rPr>
          <w:rFonts w:ascii="宋体" w:cs="宋体"/>
          <w:color w:val="auto"/>
          <w:sz w:val="24"/>
          <w:highlight w:val="none"/>
        </w:rPr>
      </w:pPr>
    </w:p>
    <w:p w14:paraId="7EF25BB2">
      <w:pPr>
        <w:spacing w:line="480" w:lineRule="auto"/>
        <w:ind w:firstLine="480" w:firstLineChars="200"/>
        <w:rPr>
          <w:rFonts w:ascii="宋体" w:hAnsi="宋体" w:cs="宋体"/>
          <w:color w:val="auto"/>
          <w:sz w:val="24"/>
          <w:highlight w:val="none"/>
        </w:rPr>
      </w:pPr>
    </w:p>
    <w:p w14:paraId="4DADB900">
      <w:pPr>
        <w:spacing w:line="480" w:lineRule="auto"/>
        <w:ind w:firstLine="480" w:firstLineChars="200"/>
        <w:rPr>
          <w:rFonts w:ascii="宋体" w:hAnsi="宋体" w:cs="宋体"/>
          <w:color w:val="auto"/>
          <w:sz w:val="24"/>
          <w:highlight w:val="none"/>
        </w:rPr>
      </w:pPr>
    </w:p>
    <w:p w14:paraId="6D6CD672">
      <w:pPr>
        <w:spacing w:line="480" w:lineRule="auto"/>
        <w:ind w:firstLine="480" w:firstLineChars="200"/>
        <w:rPr>
          <w:rFonts w:ascii="宋体" w:cs="宋体"/>
          <w:color w:val="auto"/>
          <w:sz w:val="24"/>
          <w:highlight w:val="none"/>
        </w:rPr>
      </w:pPr>
    </w:p>
    <w:p w14:paraId="4C3254F9">
      <w:pPr>
        <w:widowControl/>
        <w:jc w:val="left"/>
        <w:rPr>
          <w:rFonts w:ascii="宋体" w:cs="宋体"/>
          <w:color w:val="auto"/>
          <w:sz w:val="24"/>
          <w:highlight w:val="none"/>
        </w:rPr>
      </w:pPr>
    </w:p>
    <w:p w14:paraId="526CB16E">
      <w:pPr>
        <w:pStyle w:val="8"/>
        <w:numPr>
          <w:ilvl w:val="0"/>
          <w:numId w:val="0"/>
        </w:numPr>
        <w:shd w:val="clear" w:color="auto" w:fill="FFFFFF"/>
        <w:tabs>
          <w:tab w:val="left" w:pos="2730"/>
        </w:tabs>
        <w:jc w:val="center"/>
        <w:rPr>
          <w:rFonts w:hint="eastAsia" w:cs="宋体"/>
          <w:color w:val="auto"/>
          <w:sz w:val="28"/>
          <w:szCs w:val="28"/>
          <w:highlight w:val="none"/>
        </w:rPr>
      </w:pPr>
      <w:r>
        <w:rPr>
          <w:rFonts w:hint="eastAsia" w:cs="宋体"/>
          <w:color w:val="auto"/>
          <w:sz w:val="28"/>
          <w:szCs w:val="28"/>
          <w:highlight w:val="none"/>
          <w:lang w:eastAsia="zh-CN"/>
        </w:rPr>
        <w:t>一</w:t>
      </w:r>
      <w:r>
        <w:rPr>
          <w:rFonts w:hint="eastAsia" w:cs="宋体"/>
          <w:color w:val="auto"/>
          <w:sz w:val="28"/>
          <w:szCs w:val="28"/>
          <w:highlight w:val="none"/>
        </w:rPr>
        <w:t>、谈判响应函</w:t>
      </w:r>
    </w:p>
    <w:p w14:paraId="6B439426">
      <w:pPr>
        <w:pStyle w:val="24"/>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14:paraId="6F1E6975">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235" w:name="_Hlk44287576"/>
      <w:r>
        <w:rPr>
          <w:rFonts w:hint="eastAsia" w:ascii="宋体" w:hAnsi="宋体" w:eastAsia="宋体"/>
          <w:color w:val="auto"/>
          <w:sz w:val="24"/>
          <w:highlight w:val="none"/>
        </w:rPr>
        <w:t>竞争性谈判公告</w:t>
      </w:r>
      <w:bookmarkEnd w:id="235"/>
      <w:r>
        <w:rPr>
          <w:rFonts w:hint="eastAsia" w:ascii="宋体" w:hAnsi="宋体" w:eastAsia="宋体"/>
          <w:color w:val="auto"/>
          <w:sz w:val="24"/>
          <w:highlight w:val="none"/>
        </w:rPr>
        <w:t>，我方兹宣布同意如下：</w:t>
      </w:r>
    </w:p>
    <w:p w14:paraId="21BA2D29">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1.如我公司成交，我公司承诺愿意按谈判文件规定缴纳成交服务费。按本次谈判文件规定及最后报价承诺供货。</w:t>
      </w:r>
    </w:p>
    <w:p w14:paraId="443188A7">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2.我方根据本次谈判文件的规定，严格履行合同的责任和义务</w:t>
      </w:r>
      <w:r>
        <w:rPr>
          <w:rFonts w:hint="eastAsia" w:ascii="宋体" w:hAnsi="宋体"/>
          <w:color w:val="auto"/>
          <w:sz w:val="24"/>
          <w:highlight w:val="none"/>
          <w:lang w:eastAsia="zh-CN"/>
        </w:rPr>
        <w:t>，</w:t>
      </w:r>
      <w:r>
        <w:rPr>
          <w:rFonts w:hint="eastAsia" w:ascii="宋体" w:hAnsi="宋体" w:eastAsia="宋体"/>
          <w:color w:val="auto"/>
          <w:sz w:val="24"/>
          <w:highlight w:val="none"/>
        </w:rPr>
        <w:t>并保证于甲方（采购人）要求的日期内完成项目的交货，并通过甲方（采购人）验收。</w:t>
      </w:r>
    </w:p>
    <w:p w14:paraId="2F09BD4E">
      <w:pPr>
        <w:spacing w:line="360" w:lineRule="auto"/>
        <w:ind w:firstLine="480" w:firstLineChars="200"/>
        <w:rPr>
          <w:rFonts w:hint="eastAsia" w:ascii="宋体" w:hAnsi="宋体" w:eastAsia="宋体"/>
          <w:color w:val="auto"/>
          <w:sz w:val="24"/>
          <w:highlight w:val="none"/>
        </w:rPr>
      </w:pPr>
      <w:r>
        <w:rPr>
          <w:rFonts w:hint="default" w:ascii="宋体" w:hAnsi="宋体"/>
          <w:color w:val="auto"/>
          <w:sz w:val="24"/>
          <w:highlight w:val="none"/>
          <w:lang w:val="en-US"/>
        </w:rPr>
        <w:t>3</w:t>
      </w:r>
      <w:r>
        <w:rPr>
          <w:rFonts w:hint="eastAsia" w:ascii="宋体" w:hAnsi="宋体" w:eastAsia="宋体"/>
          <w:color w:val="auto"/>
          <w:sz w:val="24"/>
          <w:highlight w:val="none"/>
        </w:rPr>
        <w:t>.我方已详细审核本次谈判文件，包括谈判文件附件、参考资料、谈判文件</w:t>
      </w:r>
      <w:r>
        <w:rPr>
          <w:rFonts w:hint="eastAsia" w:ascii="宋体" w:hAnsi="宋体"/>
          <w:color w:val="auto"/>
          <w:sz w:val="24"/>
          <w:highlight w:val="none"/>
          <w:lang w:val="en-US" w:eastAsia="zh-CN"/>
        </w:rPr>
        <w:t>更正公告</w:t>
      </w:r>
      <w:r>
        <w:rPr>
          <w:rFonts w:hint="eastAsia" w:ascii="宋体" w:hAnsi="宋体" w:eastAsia="宋体"/>
          <w:color w:val="auto"/>
          <w:sz w:val="24"/>
          <w:highlight w:val="none"/>
        </w:rPr>
        <w:t>或图纸（如有），我方正式认可并遵守本次谈判文件，并对谈判文件各项条款、规定及要求均无异议。</w:t>
      </w:r>
    </w:p>
    <w:p w14:paraId="07532066">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4</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14:paraId="53BF192C">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5</w:t>
      </w:r>
      <w:r>
        <w:rPr>
          <w:rFonts w:hint="eastAsia" w:ascii="宋体" w:hAnsi="宋体" w:eastAsia="宋体"/>
          <w:color w:val="auto"/>
          <w:sz w:val="24"/>
          <w:highlight w:val="none"/>
        </w:rPr>
        <w:t>.我方同意按贵方要求在谈判规定时间内向贵方提供与其谈判有关的任何证据或补充资料，否则，我方的响应文件可被贵方拒绝。</w:t>
      </w:r>
    </w:p>
    <w:p w14:paraId="2DBF5940">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6</w:t>
      </w:r>
      <w:r>
        <w:rPr>
          <w:rFonts w:hint="eastAsia" w:ascii="宋体" w:hAnsi="宋体" w:eastAsia="宋体"/>
          <w:color w:val="auto"/>
          <w:sz w:val="24"/>
          <w:highlight w:val="none"/>
        </w:rPr>
        <w:t>.我方完全理解贵方不一定接受最低报价的谈判。</w:t>
      </w:r>
    </w:p>
    <w:p w14:paraId="74983884">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7</w:t>
      </w:r>
      <w:r>
        <w:rPr>
          <w:rFonts w:hint="eastAsia" w:ascii="宋体" w:hAnsi="宋体" w:eastAsia="宋体"/>
          <w:color w:val="auto"/>
          <w:sz w:val="24"/>
          <w:highlight w:val="none"/>
        </w:rPr>
        <w:t>.我方同意谈判文件规定的付款方式、服务</w:t>
      </w:r>
      <w:r>
        <w:rPr>
          <w:rFonts w:hint="eastAsia" w:ascii="宋体" w:hAnsi="宋体" w:eastAsia="宋体"/>
          <w:color w:val="auto"/>
          <w:sz w:val="24"/>
          <w:highlight w:val="none"/>
          <w:lang w:eastAsia="zh-CN"/>
        </w:rPr>
        <w:t>（或供货）</w:t>
      </w:r>
      <w:r>
        <w:rPr>
          <w:rFonts w:hint="eastAsia" w:ascii="宋体" w:hAnsi="宋体" w:eastAsia="宋体"/>
          <w:color w:val="auto"/>
          <w:sz w:val="24"/>
          <w:highlight w:val="none"/>
        </w:rPr>
        <w:t>期限。</w:t>
      </w:r>
    </w:p>
    <w:p w14:paraId="58EF9769">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8</w:t>
      </w:r>
      <w:r>
        <w:rPr>
          <w:rFonts w:hint="eastAsia" w:ascii="宋体" w:hAnsi="宋体" w:eastAsia="宋体"/>
          <w:color w:val="auto"/>
          <w:sz w:val="24"/>
          <w:highlight w:val="none"/>
        </w:rPr>
        <w:t>.我方对响应文件中所提供资料、文件、证书及证件的真实性和有效性负责。</w:t>
      </w:r>
    </w:p>
    <w:p w14:paraId="6C11DC3A">
      <w:pPr>
        <w:spacing w:line="360" w:lineRule="auto"/>
        <w:ind w:firstLine="480" w:firstLineChars="200"/>
        <w:rPr>
          <w:rFonts w:ascii="宋体" w:hAnsi="宋体" w:eastAsia="宋体"/>
          <w:color w:val="auto"/>
          <w:sz w:val="24"/>
          <w:highlight w:val="none"/>
        </w:rPr>
      </w:pPr>
    </w:p>
    <w:p w14:paraId="2DF1EAFB">
      <w:pPr>
        <w:spacing w:line="360" w:lineRule="auto"/>
        <w:ind w:firstLine="480" w:firstLineChars="200"/>
        <w:rPr>
          <w:rFonts w:ascii="宋体" w:hAnsi="宋体" w:eastAsia="宋体"/>
          <w:color w:val="auto"/>
          <w:sz w:val="24"/>
          <w:highlight w:val="none"/>
        </w:rPr>
      </w:pPr>
    </w:p>
    <w:p w14:paraId="53FA58CF">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056156F7">
      <w:pPr>
        <w:pStyle w:val="47"/>
        <w:rPr>
          <w:rFonts w:hint="eastAsia"/>
          <w:lang w:val="en-US" w:eastAsia="zh-CN"/>
        </w:rPr>
      </w:pPr>
    </w:p>
    <w:p w14:paraId="0658FF92">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09BE3511">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7B59D5D3">
      <w:pPr>
        <w:spacing w:line="360" w:lineRule="auto"/>
        <w:ind w:firstLine="3600" w:firstLineChars="1500"/>
        <w:rPr>
          <w:rFonts w:hint="eastAsia" w:ascii="宋体" w:hAnsi="宋体" w:eastAsia="宋体"/>
          <w:color w:val="auto"/>
          <w:sz w:val="24"/>
          <w:highlight w:val="none"/>
        </w:rPr>
      </w:pPr>
    </w:p>
    <w:p w14:paraId="47AC3FF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w:t>
      </w:r>
      <w:r>
        <w:rPr>
          <w:rFonts w:hint="eastAsia" w:ascii="宋体" w:hAnsi="宋体"/>
          <w:color w:val="auto"/>
          <w:sz w:val="24"/>
          <w:highlight w:val="none"/>
          <w:lang w:val="en-US" w:eastAsia="zh-CN"/>
        </w:rPr>
        <w:t xml:space="preserve"> </w:t>
      </w:r>
      <w:r>
        <w:rPr>
          <w:rFonts w:hint="eastAsia" w:ascii="宋体" w:hAnsi="宋体" w:eastAsia="宋体"/>
          <w:color w:val="auto"/>
          <w:sz w:val="24"/>
          <w:highlight w:val="none"/>
        </w:rPr>
        <w:t>期：</w:t>
      </w:r>
      <w:r>
        <w:rPr>
          <w:rFonts w:hint="eastAsia" w:ascii="宋体" w:hAnsi="宋体" w:eastAsia="宋体"/>
          <w:color w:val="auto"/>
          <w:sz w:val="24"/>
          <w:highlight w:val="none"/>
          <w:u w:val="single"/>
        </w:rPr>
        <w:t xml:space="preserve">                      </w:t>
      </w:r>
    </w:p>
    <w:p w14:paraId="64500685">
      <w:pPr>
        <w:pStyle w:val="22"/>
        <w:tabs>
          <w:tab w:val="left" w:pos="5580"/>
        </w:tabs>
        <w:spacing w:line="480" w:lineRule="auto"/>
        <w:ind w:firstLine="3570" w:firstLineChars="1700"/>
        <w:rPr>
          <w:rFonts w:hint="eastAsia" w:hAnsi="宋体" w:cs="宋体"/>
          <w:color w:val="auto"/>
          <w:highlight w:val="none"/>
        </w:rPr>
      </w:pPr>
    </w:p>
    <w:p w14:paraId="3823B4DF">
      <w:pPr>
        <w:pStyle w:val="22"/>
        <w:tabs>
          <w:tab w:val="left" w:pos="5580"/>
        </w:tabs>
        <w:spacing w:line="480" w:lineRule="auto"/>
        <w:rPr>
          <w:rFonts w:hint="eastAsia" w:hAnsi="宋体" w:cs="宋体"/>
          <w:color w:val="auto"/>
          <w:highlight w:val="none"/>
        </w:rPr>
      </w:pPr>
    </w:p>
    <w:p w14:paraId="74BD03EA">
      <w:pPr>
        <w:pStyle w:val="22"/>
        <w:tabs>
          <w:tab w:val="left" w:pos="5580"/>
        </w:tabs>
        <w:spacing w:line="480" w:lineRule="auto"/>
        <w:rPr>
          <w:rFonts w:hint="eastAsia" w:hAnsi="宋体" w:cs="宋体"/>
          <w:color w:val="auto"/>
          <w:highlight w:val="none"/>
        </w:rPr>
      </w:pPr>
    </w:p>
    <w:p w14:paraId="791F8B48">
      <w:pPr>
        <w:pStyle w:val="8"/>
        <w:numPr>
          <w:ilvl w:val="0"/>
          <w:numId w:val="0"/>
        </w:numPr>
        <w:tabs>
          <w:tab w:val="left" w:pos="2730"/>
        </w:tabs>
        <w:jc w:val="center"/>
        <w:rPr>
          <w:rFonts w:cs="宋体"/>
          <w:color w:val="auto"/>
          <w:sz w:val="28"/>
          <w:szCs w:val="28"/>
          <w:highlight w:val="none"/>
        </w:rPr>
      </w:pPr>
      <w:bookmarkStart w:id="236" w:name="_Toc28034"/>
      <w:bookmarkStart w:id="237" w:name="_Toc476584434"/>
      <w:bookmarkStart w:id="238" w:name="_Toc54941343"/>
      <w:bookmarkStart w:id="239" w:name="_Toc28153"/>
      <w:bookmarkStart w:id="240" w:name="_Toc32647"/>
      <w:bookmarkStart w:id="241"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236"/>
      <w:bookmarkEnd w:id="237"/>
      <w:bookmarkEnd w:id="238"/>
    </w:p>
    <w:p w14:paraId="031F42A7">
      <w:pPr>
        <w:rPr>
          <w:rFonts w:hint="eastAsia" w:hAnsi="宋体" w:eastAsia="宋体" w:cs="宋体"/>
          <w:color w:val="auto"/>
          <w:kern w:val="2"/>
          <w:sz w:val="28"/>
          <w:szCs w:val="28"/>
          <w:highlight w:val="none"/>
          <w:lang w:val="en-US" w:eastAsia="zh-CN" w:bidi="ar-SA"/>
        </w:rPr>
      </w:pPr>
      <w:r>
        <w:rPr>
          <w:rFonts w:hint="eastAsia" w:hAnsi="宋体" w:eastAsia="宋体" w:cs="宋体"/>
          <w:color w:val="auto"/>
          <w:kern w:val="2"/>
          <w:sz w:val="28"/>
          <w:szCs w:val="28"/>
          <w:highlight w:val="none"/>
          <w:lang w:val="en-US" w:eastAsia="zh-CN" w:bidi="ar-SA"/>
        </w:rPr>
        <w:t>首轮报价表</w:t>
      </w:r>
    </w:p>
    <w:p w14:paraId="1C823452">
      <w:pPr>
        <w:snapToGrid w:val="0"/>
        <w:spacing w:line="360" w:lineRule="auto"/>
        <w:jc w:val="left"/>
        <w:rPr>
          <w:rFonts w:hint="eastAsia" w:ascii="宋体" w:hAnsi="宋体" w:eastAsia="宋体"/>
          <w:b/>
          <w:color w:val="auto"/>
          <w:sz w:val="24"/>
          <w:szCs w:val="28"/>
          <w:highlight w:val="none"/>
        </w:rPr>
      </w:pPr>
    </w:p>
    <w:p w14:paraId="10EDCDBA">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4220AD52">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3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353512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1443" w:type="pct"/>
            <w:vMerge w:val="restart"/>
            <w:tcBorders>
              <w:top w:val="single" w:color="auto" w:sz="4" w:space="0"/>
            </w:tcBorders>
            <w:vAlign w:val="center"/>
          </w:tcPr>
          <w:p w14:paraId="5ED0E570">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报价</w:t>
            </w:r>
          </w:p>
          <w:p w14:paraId="1A30462A">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3556" w:type="pct"/>
            <w:vAlign w:val="center"/>
          </w:tcPr>
          <w:p w14:paraId="3621414A">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18E18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Merge w:val="continue"/>
            <w:vAlign w:val="center"/>
          </w:tcPr>
          <w:p w14:paraId="3C9F4D5C">
            <w:pPr>
              <w:spacing w:line="360" w:lineRule="auto"/>
              <w:jc w:val="center"/>
              <w:rPr>
                <w:rFonts w:ascii="宋体" w:hAnsi="宋体" w:eastAsia="宋体"/>
                <w:b/>
                <w:color w:val="auto"/>
                <w:sz w:val="24"/>
                <w:szCs w:val="24"/>
                <w:highlight w:val="none"/>
              </w:rPr>
            </w:pPr>
          </w:p>
        </w:tc>
        <w:tc>
          <w:tcPr>
            <w:tcW w:w="3556" w:type="pct"/>
            <w:vAlign w:val="center"/>
          </w:tcPr>
          <w:p w14:paraId="431DC9EB">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人民币大写：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527D3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Align w:val="center"/>
          </w:tcPr>
          <w:p w14:paraId="5AADDF06">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3556" w:type="pct"/>
          </w:tcPr>
          <w:p w14:paraId="09EDC7EB">
            <w:pPr>
              <w:spacing w:line="360" w:lineRule="auto"/>
              <w:rPr>
                <w:rFonts w:ascii="宋体" w:hAnsi="宋体" w:eastAsia="宋体"/>
                <w:b/>
                <w:color w:val="auto"/>
                <w:sz w:val="24"/>
                <w:highlight w:val="none"/>
              </w:rPr>
            </w:pPr>
          </w:p>
        </w:tc>
      </w:tr>
    </w:tbl>
    <w:p w14:paraId="0819E128">
      <w:pPr>
        <w:pStyle w:val="8"/>
        <w:tabs>
          <w:tab w:val="left" w:pos="2730"/>
        </w:tabs>
        <w:rPr>
          <w:color w:val="auto"/>
          <w:highlight w:val="none"/>
        </w:rPr>
      </w:pPr>
    </w:p>
    <w:p w14:paraId="79A29420">
      <w:pPr>
        <w:spacing w:line="440" w:lineRule="exact"/>
        <w:ind w:firstLine="4800" w:firstLineChars="2000"/>
        <w:rPr>
          <w:rFonts w:hint="eastAsia" w:ascii="宋体" w:hAnsi="宋体" w:eastAsia="宋体"/>
          <w:color w:val="auto"/>
          <w:sz w:val="24"/>
          <w:szCs w:val="24"/>
          <w:highlight w:val="none"/>
        </w:rPr>
      </w:pPr>
    </w:p>
    <w:p w14:paraId="4CA3CCE4">
      <w:pPr>
        <w:spacing w:line="440" w:lineRule="exact"/>
        <w:ind w:firstLine="4800" w:firstLineChars="2000"/>
        <w:rPr>
          <w:rFonts w:hint="eastAsia" w:ascii="宋体" w:hAnsi="宋体" w:eastAsia="宋体"/>
          <w:color w:val="auto"/>
          <w:sz w:val="24"/>
          <w:szCs w:val="24"/>
          <w:highlight w:val="none"/>
        </w:rPr>
      </w:pPr>
    </w:p>
    <w:p w14:paraId="33F77F26">
      <w:pPr>
        <w:spacing w:line="440" w:lineRule="exact"/>
        <w:ind w:firstLine="4800" w:firstLineChars="2000"/>
        <w:rPr>
          <w:rFonts w:hint="eastAsia" w:ascii="宋体" w:hAnsi="宋体" w:eastAsia="宋体"/>
          <w:color w:val="auto"/>
          <w:sz w:val="24"/>
          <w:szCs w:val="24"/>
          <w:highlight w:val="none"/>
        </w:rPr>
      </w:pPr>
    </w:p>
    <w:p w14:paraId="2566F36F">
      <w:pPr>
        <w:spacing w:line="440" w:lineRule="exact"/>
        <w:ind w:firstLine="4800" w:firstLineChars="2000"/>
        <w:rPr>
          <w:rFonts w:hint="eastAsia" w:ascii="宋体" w:hAnsi="宋体" w:eastAsia="宋体"/>
          <w:color w:val="auto"/>
          <w:sz w:val="24"/>
          <w:szCs w:val="24"/>
          <w:highlight w:val="none"/>
        </w:rPr>
      </w:pPr>
    </w:p>
    <w:p w14:paraId="51CF158C">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242" w:name="OLE_LINK5"/>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4065EDAE">
      <w:pPr>
        <w:spacing w:line="360" w:lineRule="auto"/>
        <w:ind w:firstLine="3600" w:firstLineChars="1500"/>
        <w:rPr>
          <w:rFonts w:hint="eastAsia" w:ascii="宋体" w:hAnsi="宋体" w:eastAsia="宋体"/>
          <w:color w:val="auto"/>
          <w:sz w:val="24"/>
          <w:highlight w:val="none"/>
        </w:rPr>
      </w:pPr>
    </w:p>
    <w:p w14:paraId="2175027E">
      <w:pPr>
        <w:ind w:firstLine="3600" w:firstLineChars="1500"/>
        <w:rPr>
          <w:color w:val="auto"/>
          <w:highlight w:val="none"/>
        </w:rPr>
      </w:pPr>
      <w:r>
        <w:rPr>
          <w:rFonts w:hint="eastAsia" w:ascii="宋体" w:hAnsi="宋体" w:eastAsia="宋体"/>
          <w:color w:val="auto"/>
          <w:sz w:val="24"/>
          <w:highlight w:val="none"/>
        </w:rPr>
        <w:t>日</w:t>
      </w:r>
      <w:r>
        <w:rPr>
          <w:rFonts w:hint="eastAsia" w:ascii="宋体" w:hAnsi="宋体"/>
          <w:color w:val="auto"/>
          <w:sz w:val="24"/>
          <w:highlight w:val="none"/>
          <w:lang w:val="en-US" w:eastAsia="zh-CN"/>
        </w:rPr>
        <w:t xml:space="preserve"> </w:t>
      </w:r>
      <w:r>
        <w:rPr>
          <w:rFonts w:hint="eastAsia" w:ascii="宋体" w:hAnsi="宋体" w:eastAsia="宋体"/>
          <w:color w:val="auto"/>
          <w:sz w:val="24"/>
          <w:highlight w:val="none"/>
        </w:rPr>
        <w:t>期：</w:t>
      </w:r>
      <w:r>
        <w:rPr>
          <w:rFonts w:hint="eastAsia" w:ascii="宋体" w:hAnsi="宋体" w:eastAsia="宋体"/>
          <w:color w:val="auto"/>
          <w:sz w:val="24"/>
          <w:highlight w:val="none"/>
          <w:u w:val="single"/>
        </w:rPr>
        <w:t xml:space="preserve">                      </w:t>
      </w:r>
    </w:p>
    <w:bookmarkEnd w:id="242"/>
    <w:p w14:paraId="27D677BC">
      <w:pPr>
        <w:rPr>
          <w:rFonts w:hint="eastAsia" w:hAnsi="宋体" w:cs="宋体"/>
          <w:color w:val="auto"/>
          <w:sz w:val="28"/>
          <w:szCs w:val="28"/>
          <w:highlight w:val="none"/>
          <w:lang w:val="en-US" w:eastAsia="zh-CN"/>
        </w:rPr>
      </w:pPr>
    </w:p>
    <w:p w14:paraId="300083D4">
      <w:pPr>
        <w:rPr>
          <w:rFonts w:hint="eastAsia" w:hAnsi="宋体" w:cs="宋体"/>
          <w:color w:val="auto"/>
          <w:sz w:val="28"/>
          <w:szCs w:val="28"/>
          <w:highlight w:val="none"/>
          <w:lang w:val="en-US" w:eastAsia="zh-CN"/>
        </w:rPr>
      </w:pPr>
    </w:p>
    <w:p w14:paraId="7522B51F">
      <w:pPr>
        <w:rPr>
          <w:rFonts w:hint="eastAsia" w:hAnsi="宋体" w:cs="宋体"/>
          <w:color w:val="auto"/>
          <w:sz w:val="28"/>
          <w:szCs w:val="28"/>
          <w:highlight w:val="none"/>
          <w:lang w:val="en-US" w:eastAsia="zh-CN"/>
        </w:rPr>
      </w:pPr>
    </w:p>
    <w:p w14:paraId="0D39F3B1">
      <w:pPr>
        <w:pStyle w:val="47"/>
        <w:rPr>
          <w:rFonts w:hint="eastAsia" w:hAnsi="宋体" w:cs="宋体"/>
          <w:color w:val="auto"/>
          <w:sz w:val="28"/>
          <w:szCs w:val="28"/>
          <w:highlight w:val="none"/>
          <w:lang w:val="en-US" w:eastAsia="zh-CN"/>
        </w:rPr>
      </w:pPr>
    </w:p>
    <w:p w14:paraId="30DE5C42">
      <w:pPr>
        <w:pStyle w:val="47"/>
        <w:rPr>
          <w:rFonts w:hint="eastAsia" w:hAnsi="宋体" w:cs="宋体"/>
          <w:color w:val="auto"/>
          <w:sz w:val="28"/>
          <w:szCs w:val="28"/>
          <w:highlight w:val="none"/>
          <w:lang w:val="en-US" w:eastAsia="zh-CN"/>
        </w:rPr>
      </w:pPr>
    </w:p>
    <w:p w14:paraId="145BEDF9">
      <w:pPr>
        <w:pStyle w:val="4"/>
        <w:ind w:firstLine="0"/>
        <w:rPr>
          <w:rFonts w:hint="eastAsia" w:hAnsi="宋体" w:cs="宋体"/>
          <w:color w:val="auto"/>
          <w:sz w:val="28"/>
          <w:szCs w:val="28"/>
          <w:highlight w:val="none"/>
        </w:rPr>
      </w:pPr>
      <w:r>
        <w:rPr>
          <w:rFonts w:hint="eastAsia" w:hAnsi="宋体" w:cs="宋体"/>
          <w:color w:val="auto"/>
          <w:sz w:val="28"/>
          <w:szCs w:val="28"/>
          <w:highlight w:val="none"/>
          <w:lang w:val="en-US" w:eastAsia="zh-CN"/>
        </w:rPr>
        <w:t>2-2</w:t>
      </w:r>
      <w:r>
        <w:rPr>
          <w:rFonts w:hint="eastAsia" w:hAnsi="宋体" w:cs="宋体"/>
          <w:color w:val="auto"/>
          <w:sz w:val="28"/>
          <w:szCs w:val="28"/>
          <w:highlight w:val="none"/>
          <w:lang w:eastAsia="zh-CN"/>
        </w:rPr>
        <w:t>分项报价明细表</w:t>
      </w:r>
      <w:r>
        <w:rPr>
          <w:rFonts w:hint="eastAsia" w:hAnsi="宋体" w:cs="宋体"/>
          <w:color w:val="auto"/>
          <w:sz w:val="28"/>
          <w:szCs w:val="28"/>
          <w:highlight w:val="none"/>
        </w:rPr>
        <w:t>：</w:t>
      </w:r>
    </w:p>
    <w:p w14:paraId="646493F2">
      <w:pPr>
        <w:spacing w:line="360" w:lineRule="auto"/>
        <w:ind w:firstLine="6720" w:firstLineChars="3200"/>
      </w:pPr>
      <w:r>
        <w:rPr>
          <w:rFonts w:hint="eastAsia" w:ascii="宋体" w:hAnsi="宋体"/>
          <w:color w:val="auto"/>
          <w:highlight w:val="none"/>
        </w:rPr>
        <w:t>金额单位：人民币（元）</w:t>
      </w:r>
    </w:p>
    <w:tbl>
      <w:tblPr>
        <w:tblStyle w:val="39"/>
        <w:tblW w:w="487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7"/>
        <w:gridCol w:w="2707"/>
        <w:gridCol w:w="1971"/>
        <w:gridCol w:w="1195"/>
        <w:gridCol w:w="1200"/>
        <w:gridCol w:w="1200"/>
      </w:tblGrid>
      <w:tr w14:paraId="2FC243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434" w:type="pct"/>
            <w:shd w:val="clear" w:color="auto" w:fill="auto"/>
            <w:noWrap/>
            <w:vAlign w:val="center"/>
          </w:tcPr>
          <w:p w14:paraId="3803E96F">
            <w:pPr>
              <w:widowControl/>
              <w:jc w:val="center"/>
              <w:rPr>
                <w:rFonts w:ascii="宋体" w:hAnsi="宋体" w:eastAsia="宋体" w:cs="宋体"/>
                <w:bCs/>
                <w:sz w:val="22"/>
                <w:szCs w:val="22"/>
              </w:rPr>
            </w:pPr>
            <w:r>
              <w:rPr>
                <w:rFonts w:hint="eastAsia" w:ascii="宋体" w:hAnsi="宋体" w:eastAsia="宋体" w:cs="宋体"/>
                <w:bCs/>
                <w:sz w:val="22"/>
                <w:szCs w:val="22"/>
              </w:rPr>
              <w:t>序号</w:t>
            </w:r>
          </w:p>
        </w:tc>
        <w:tc>
          <w:tcPr>
            <w:tcW w:w="1493" w:type="pct"/>
            <w:shd w:val="clear" w:color="auto" w:fill="auto"/>
            <w:noWrap/>
            <w:vAlign w:val="center"/>
          </w:tcPr>
          <w:p w14:paraId="33A6FA7F">
            <w:pPr>
              <w:widowControl/>
              <w:jc w:val="center"/>
              <w:rPr>
                <w:rFonts w:ascii="宋体" w:hAnsi="宋体" w:eastAsia="宋体" w:cs="宋体"/>
                <w:bCs/>
                <w:sz w:val="22"/>
                <w:szCs w:val="22"/>
              </w:rPr>
            </w:pPr>
            <w:r>
              <w:rPr>
                <w:rFonts w:hint="eastAsia" w:ascii="宋体" w:hAnsi="宋体" w:eastAsia="宋体" w:cs="宋体"/>
                <w:bCs/>
                <w:sz w:val="22"/>
                <w:szCs w:val="22"/>
              </w:rPr>
              <w:t>货物名称</w:t>
            </w:r>
          </w:p>
        </w:tc>
        <w:tc>
          <w:tcPr>
            <w:tcW w:w="1087" w:type="pct"/>
            <w:shd w:val="clear" w:color="auto" w:fill="auto"/>
            <w:noWrap/>
            <w:vAlign w:val="center"/>
          </w:tcPr>
          <w:p w14:paraId="06224DCC">
            <w:pPr>
              <w:widowControl/>
              <w:jc w:val="center"/>
              <w:rPr>
                <w:rFonts w:ascii="宋体" w:hAnsi="宋体" w:eastAsia="宋体" w:cs="宋体"/>
                <w:bCs/>
                <w:sz w:val="22"/>
                <w:szCs w:val="22"/>
              </w:rPr>
            </w:pPr>
            <w:r>
              <w:rPr>
                <w:rFonts w:hint="eastAsia" w:ascii="宋体" w:hAnsi="宋体" w:eastAsia="宋体" w:cs="宋体"/>
                <w:bCs/>
                <w:sz w:val="22"/>
                <w:szCs w:val="22"/>
              </w:rPr>
              <w:t>单位</w:t>
            </w:r>
          </w:p>
        </w:tc>
        <w:tc>
          <w:tcPr>
            <w:tcW w:w="659" w:type="pct"/>
            <w:shd w:val="clear" w:color="auto" w:fill="auto"/>
            <w:noWrap/>
            <w:vAlign w:val="center"/>
          </w:tcPr>
          <w:p w14:paraId="6314D91C">
            <w:pPr>
              <w:widowControl/>
              <w:jc w:val="center"/>
              <w:rPr>
                <w:rFonts w:ascii="宋体" w:hAnsi="宋体" w:eastAsia="宋体" w:cs="宋体"/>
                <w:bCs/>
                <w:sz w:val="22"/>
                <w:szCs w:val="22"/>
              </w:rPr>
            </w:pPr>
            <w:r>
              <w:rPr>
                <w:rFonts w:hint="eastAsia" w:ascii="宋体" w:hAnsi="宋体" w:eastAsia="宋体" w:cs="宋体"/>
                <w:bCs/>
                <w:sz w:val="22"/>
                <w:szCs w:val="22"/>
              </w:rPr>
              <w:t>数量</w:t>
            </w:r>
          </w:p>
        </w:tc>
        <w:tc>
          <w:tcPr>
            <w:tcW w:w="662" w:type="pct"/>
            <w:vAlign w:val="center"/>
          </w:tcPr>
          <w:p w14:paraId="5FDB41B9">
            <w:pPr>
              <w:widowControl/>
              <w:jc w:val="center"/>
              <w:rPr>
                <w:rFonts w:ascii="宋体" w:hAnsi="宋体" w:eastAsia="宋体" w:cs="宋体"/>
                <w:bCs/>
                <w:sz w:val="22"/>
                <w:szCs w:val="22"/>
              </w:rPr>
            </w:pPr>
            <w:r>
              <w:rPr>
                <w:rFonts w:hint="eastAsia" w:ascii="宋体" w:hAnsi="宋体" w:eastAsia="宋体" w:cs="宋体"/>
                <w:bCs/>
                <w:sz w:val="22"/>
                <w:szCs w:val="22"/>
                <w:lang w:val="en-US" w:eastAsia="zh-CN"/>
              </w:rPr>
              <w:t>单价</w:t>
            </w:r>
          </w:p>
        </w:tc>
        <w:tc>
          <w:tcPr>
            <w:tcW w:w="662" w:type="pct"/>
            <w:vAlign w:val="center"/>
          </w:tcPr>
          <w:p w14:paraId="4DFBC041">
            <w:pPr>
              <w:widowControl/>
              <w:jc w:val="center"/>
              <w:rPr>
                <w:rFonts w:hint="eastAsia" w:ascii="宋体" w:hAnsi="宋体" w:eastAsia="宋体" w:cs="宋体"/>
                <w:bCs/>
                <w:sz w:val="22"/>
                <w:szCs w:val="22"/>
                <w:lang w:val="en-US" w:eastAsia="zh-CN"/>
              </w:rPr>
            </w:pPr>
            <w:r>
              <w:rPr>
                <w:rFonts w:hint="eastAsia" w:ascii="宋体" w:hAnsi="宋体" w:eastAsia="宋体" w:cs="宋体"/>
                <w:bCs/>
                <w:sz w:val="22"/>
                <w:szCs w:val="22"/>
                <w:lang w:val="en-US" w:eastAsia="zh-CN"/>
              </w:rPr>
              <w:t>总价</w:t>
            </w:r>
          </w:p>
        </w:tc>
      </w:tr>
      <w:tr w14:paraId="2045DD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34" w:type="pct"/>
            <w:shd w:val="clear" w:color="auto" w:fill="auto"/>
            <w:noWrap/>
            <w:vAlign w:val="center"/>
          </w:tcPr>
          <w:p w14:paraId="512D2176">
            <w:pPr>
              <w:widowControl/>
              <w:jc w:val="center"/>
              <w:textAlignment w:val="center"/>
              <w:rPr>
                <w:rFonts w:ascii="宋体" w:hAnsi="宋体" w:eastAsia="宋体" w:cs="宋体"/>
                <w:bCs/>
                <w:sz w:val="22"/>
                <w:szCs w:val="22"/>
              </w:rPr>
            </w:pPr>
            <w:r>
              <w:rPr>
                <w:rFonts w:hint="eastAsia" w:ascii="宋体" w:hAnsi="宋体" w:eastAsia="宋体" w:cs="宋体"/>
                <w:bCs/>
                <w:sz w:val="22"/>
                <w:szCs w:val="22"/>
              </w:rPr>
              <w:t>1</w:t>
            </w:r>
          </w:p>
        </w:tc>
        <w:tc>
          <w:tcPr>
            <w:tcW w:w="1493" w:type="pct"/>
            <w:shd w:val="clear" w:color="auto" w:fill="auto"/>
            <w:vAlign w:val="center"/>
          </w:tcPr>
          <w:p w14:paraId="192F1171">
            <w:pPr>
              <w:widowControl/>
              <w:jc w:val="center"/>
              <w:rPr>
                <w:rFonts w:ascii="宋体" w:hAnsi="宋体" w:eastAsia="宋体"/>
                <w:sz w:val="22"/>
                <w:szCs w:val="22"/>
              </w:rPr>
            </w:pPr>
            <w:r>
              <w:rPr>
                <w:rFonts w:hint="eastAsia" w:ascii="宋体" w:hAnsi="宋体" w:eastAsia="宋体"/>
                <w:sz w:val="22"/>
                <w:szCs w:val="22"/>
              </w:rPr>
              <w:t>高级单杠</w:t>
            </w:r>
          </w:p>
        </w:tc>
        <w:tc>
          <w:tcPr>
            <w:tcW w:w="1087" w:type="pct"/>
            <w:shd w:val="clear" w:color="auto" w:fill="auto"/>
            <w:vAlign w:val="center"/>
          </w:tcPr>
          <w:p w14:paraId="7D8DAA69">
            <w:pPr>
              <w:widowControl/>
              <w:jc w:val="center"/>
              <w:rPr>
                <w:rFonts w:ascii="宋体" w:hAnsi="宋体" w:eastAsia="宋体"/>
                <w:sz w:val="22"/>
                <w:szCs w:val="22"/>
              </w:rPr>
            </w:pPr>
            <w:r>
              <w:rPr>
                <w:rFonts w:hint="eastAsia" w:ascii="宋体" w:hAnsi="宋体" w:eastAsia="宋体"/>
                <w:sz w:val="22"/>
                <w:szCs w:val="22"/>
              </w:rPr>
              <w:t>套</w:t>
            </w:r>
          </w:p>
        </w:tc>
        <w:tc>
          <w:tcPr>
            <w:tcW w:w="659" w:type="pct"/>
            <w:shd w:val="clear" w:color="auto" w:fill="auto"/>
            <w:vAlign w:val="center"/>
          </w:tcPr>
          <w:p w14:paraId="0A696D08">
            <w:pPr>
              <w:widowControl/>
              <w:jc w:val="center"/>
              <w:rPr>
                <w:rFonts w:ascii="宋体" w:hAnsi="宋体" w:eastAsia="宋体"/>
                <w:color w:val="000000"/>
                <w:sz w:val="22"/>
                <w:szCs w:val="22"/>
              </w:rPr>
            </w:pPr>
            <w:r>
              <w:rPr>
                <w:rFonts w:hint="eastAsia" w:ascii="宋体" w:hAnsi="宋体" w:eastAsia="宋体"/>
                <w:color w:val="000000"/>
                <w:sz w:val="22"/>
                <w:szCs w:val="22"/>
              </w:rPr>
              <w:t>1</w:t>
            </w:r>
          </w:p>
        </w:tc>
        <w:tc>
          <w:tcPr>
            <w:tcW w:w="662" w:type="pct"/>
            <w:vAlign w:val="center"/>
          </w:tcPr>
          <w:p w14:paraId="6B424AFF">
            <w:pPr>
              <w:widowControl/>
              <w:jc w:val="center"/>
              <w:rPr>
                <w:rFonts w:ascii="宋体" w:hAnsi="宋体" w:eastAsia="宋体"/>
                <w:sz w:val="22"/>
                <w:szCs w:val="22"/>
              </w:rPr>
            </w:pPr>
          </w:p>
        </w:tc>
        <w:tc>
          <w:tcPr>
            <w:tcW w:w="662" w:type="pct"/>
            <w:vAlign w:val="center"/>
          </w:tcPr>
          <w:p w14:paraId="49C2938B">
            <w:pPr>
              <w:widowControl/>
              <w:jc w:val="center"/>
              <w:rPr>
                <w:rFonts w:hint="eastAsia" w:ascii="宋体" w:hAnsi="宋体" w:eastAsia="宋体"/>
                <w:sz w:val="22"/>
                <w:szCs w:val="22"/>
              </w:rPr>
            </w:pPr>
          </w:p>
        </w:tc>
      </w:tr>
      <w:tr w14:paraId="00FF17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34" w:type="pct"/>
            <w:shd w:val="clear" w:color="auto" w:fill="auto"/>
            <w:noWrap/>
            <w:vAlign w:val="center"/>
          </w:tcPr>
          <w:p w14:paraId="5B716093">
            <w:pPr>
              <w:widowControl/>
              <w:jc w:val="center"/>
              <w:textAlignment w:val="center"/>
              <w:rPr>
                <w:rFonts w:ascii="宋体" w:hAnsi="宋体" w:eastAsia="宋体" w:cs="宋体"/>
                <w:bCs/>
                <w:sz w:val="22"/>
                <w:szCs w:val="22"/>
              </w:rPr>
            </w:pPr>
            <w:r>
              <w:rPr>
                <w:rFonts w:hint="eastAsia" w:ascii="宋体" w:hAnsi="宋体" w:eastAsia="宋体" w:cs="宋体"/>
                <w:bCs/>
                <w:sz w:val="22"/>
                <w:szCs w:val="22"/>
              </w:rPr>
              <w:t>2</w:t>
            </w:r>
          </w:p>
        </w:tc>
        <w:tc>
          <w:tcPr>
            <w:tcW w:w="1493" w:type="pct"/>
            <w:shd w:val="clear" w:color="auto" w:fill="auto"/>
            <w:vAlign w:val="center"/>
          </w:tcPr>
          <w:p w14:paraId="71C38675">
            <w:pPr>
              <w:jc w:val="center"/>
              <w:rPr>
                <w:rFonts w:ascii="宋体" w:hAnsi="宋体" w:eastAsia="宋体"/>
                <w:sz w:val="22"/>
                <w:szCs w:val="22"/>
              </w:rPr>
            </w:pPr>
            <w:r>
              <w:rPr>
                <w:rFonts w:hint="eastAsia" w:ascii="宋体" w:hAnsi="宋体" w:eastAsia="宋体"/>
                <w:sz w:val="22"/>
                <w:szCs w:val="22"/>
              </w:rPr>
              <w:t xml:space="preserve">单杠保护垫     </w:t>
            </w:r>
          </w:p>
        </w:tc>
        <w:tc>
          <w:tcPr>
            <w:tcW w:w="1087" w:type="pct"/>
            <w:shd w:val="clear" w:color="auto" w:fill="auto"/>
            <w:vAlign w:val="center"/>
          </w:tcPr>
          <w:p w14:paraId="068623EF">
            <w:pPr>
              <w:jc w:val="center"/>
              <w:rPr>
                <w:rFonts w:ascii="宋体" w:hAnsi="宋体" w:eastAsia="宋体"/>
                <w:sz w:val="22"/>
                <w:szCs w:val="22"/>
              </w:rPr>
            </w:pPr>
            <w:r>
              <w:rPr>
                <w:rFonts w:hint="eastAsia" w:ascii="宋体" w:hAnsi="宋体" w:eastAsia="宋体"/>
                <w:sz w:val="22"/>
                <w:szCs w:val="22"/>
              </w:rPr>
              <w:t>套</w:t>
            </w:r>
          </w:p>
        </w:tc>
        <w:tc>
          <w:tcPr>
            <w:tcW w:w="659" w:type="pct"/>
            <w:shd w:val="clear" w:color="auto" w:fill="auto"/>
            <w:vAlign w:val="center"/>
          </w:tcPr>
          <w:p w14:paraId="5B4D0241">
            <w:pPr>
              <w:jc w:val="center"/>
              <w:rPr>
                <w:rFonts w:ascii="宋体" w:hAnsi="宋体" w:eastAsia="宋体"/>
                <w:color w:val="000000"/>
                <w:sz w:val="22"/>
                <w:szCs w:val="22"/>
              </w:rPr>
            </w:pPr>
            <w:r>
              <w:rPr>
                <w:rFonts w:hint="eastAsia" w:ascii="宋体" w:hAnsi="宋体" w:eastAsia="宋体"/>
                <w:color w:val="000000"/>
                <w:sz w:val="22"/>
                <w:szCs w:val="22"/>
              </w:rPr>
              <w:t>1</w:t>
            </w:r>
          </w:p>
        </w:tc>
        <w:tc>
          <w:tcPr>
            <w:tcW w:w="662" w:type="pct"/>
            <w:vAlign w:val="center"/>
          </w:tcPr>
          <w:p w14:paraId="757A1C3C">
            <w:pPr>
              <w:widowControl/>
              <w:jc w:val="center"/>
              <w:rPr>
                <w:rFonts w:ascii="宋体" w:hAnsi="宋体" w:eastAsia="宋体"/>
                <w:sz w:val="22"/>
                <w:szCs w:val="22"/>
              </w:rPr>
            </w:pPr>
          </w:p>
        </w:tc>
        <w:tc>
          <w:tcPr>
            <w:tcW w:w="662" w:type="pct"/>
            <w:vAlign w:val="center"/>
          </w:tcPr>
          <w:p w14:paraId="3CF8563E">
            <w:pPr>
              <w:widowControl/>
              <w:jc w:val="center"/>
              <w:rPr>
                <w:rFonts w:hint="eastAsia" w:ascii="宋体" w:hAnsi="宋体" w:eastAsia="宋体"/>
                <w:sz w:val="22"/>
                <w:szCs w:val="22"/>
              </w:rPr>
            </w:pPr>
          </w:p>
        </w:tc>
      </w:tr>
      <w:tr w14:paraId="63CF6E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34" w:type="pct"/>
            <w:shd w:val="clear" w:color="auto" w:fill="auto"/>
            <w:noWrap/>
            <w:vAlign w:val="center"/>
          </w:tcPr>
          <w:p w14:paraId="468FBF6B">
            <w:pPr>
              <w:widowControl/>
              <w:jc w:val="center"/>
              <w:textAlignment w:val="center"/>
              <w:rPr>
                <w:rFonts w:ascii="宋体" w:hAnsi="宋体" w:eastAsia="宋体" w:cs="宋体"/>
                <w:bCs/>
                <w:sz w:val="22"/>
                <w:szCs w:val="22"/>
              </w:rPr>
            </w:pPr>
            <w:r>
              <w:rPr>
                <w:rFonts w:hint="eastAsia" w:ascii="宋体" w:hAnsi="宋体" w:eastAsia="宋体" w:cs="宋体"/>
                <w:bCs/>
                <w:sz w:val="22"/>
                <w:szCs w:val="22"/>
              </w:rPr>
              <w:t>3</w:t>
            </w:r>
          </w:p>
        </w:tc>
        <w:tc>
          <w:tcPr>
            <w:tcW w:w="1493" w:type="pct"/>
            <w:shd w:val="clear" w:color="auto" w:fill="auto"/>
            <w:vAlign w:val="center"/>
          </w:tcPr>
          <w:p w14:paraId="2ABE5667">
            <w:pPr>
              <w:jc w:val="center"/>
              <w:rPr>
                <w:rFonts w:ascii="宋体" w:hAnsi="宋体" w:eastAsia="宋体"/>
                <w:sz w:val="22"/>
                <w:szCs w:val="22"/>
              </w:rPr>
            </w:pPr>
            <w:r>
              <w:rPr>
                <w:rFonts w:hint="eastAsia" w:ascii="宋体" w:hAnsi="宋体" w:eastAsia="宋体"/>
                <w:sz w:val="22"/>
                <w:szCs w:val="22"/>
              </w:rPr>
              <w:t>高级双杠</w:t>
            </w:r>
          </w:p>
        </w:tc>
        <w:tc>
          <w:tcPr>
            <w:tcW w:w="1087" w:type="pct"/>
            <w:shd w:val="clear" w:color="auto" w:fill="auto"/>
            <w:vAlign w:val="center"/>
          </w:tcPr>
          <w:p w14:paraId="557FD8B4">
            <w:pPr>
              <w:jc w:val="center"/>
              <w:rPr>
                <w:rFonts w:ascii="宋体" w:hAnsi="宋体" w:eastAsia="宋体"/>
                <w:sz w:val="22"/>
                <w:szCs w:val="22"/>
              </w:rPr>
            </w:pPr>
            <w:r>
              <w:rPr>
                <w:rFonts w:hint="eastAsia" w:ascii="宋体" w:hAnsi="宋体" w:eastAsia="宋体"/>
                <w:sz w:val="22"/>
                <w:szCs w:val="22"/>
              </w:rPr>
              <w:t>套</w:t>
            </w:r>
          </w:p>
        </w:tc>
        <w:tc>
          <w:tcPr>
            <w:tcW w:w="659" w:type="pct"/>
            <w:shd w:val="clear" w:color="auto" w:fill="auto"/>
            <w:vAlign w:val="center"/>
          </w:tcPr>
          <w:p w14:paraId="069DAA50">
            <w:pPr>
              <w:jc w:val="center"/>
              <w:rPr>
                <w:rFonts w:ascii="宋体" w:hAnsi="宋体" w:eastAsia="宋体"/>
                <w:color w:val="000000"/>
                <w:sz w:val="22"/>
                <w:szCs w:val="22"/>
              </w:rPr>
            </w:pPr>
            <w:r>
              <w:rPr>
                <w:rFonts w:hint="eastAsia" w:ascii="宋体" w:hAnsi="宋体" w:eastAsia="宋体"/>
                <w:color w:val="000000"/>
                <w:sz w:val="22"/>
                <w:szCs w:val="22"/>
              </w:rPr>
              <w:t>1</w:t>
            </w:r>
          </w:p>
        </w:tc>
        <w:tc>
          <w:tcPr>
            <w:tcW w:w="662" w:type="pct"/>
            <w:vAlign w:val="center"/>
          </w:tcPr>
          <w:p w14:paraId="41EC7610">
            <w:pPr>
              <w:widowControl/>
              <w:jc w:val="center"/>
              <w:rPr>
                <w:rFonts w:ascii="宋体" w:hAnsi="宋体" w:eastAsia="宋体"/>
                <w:sz w:val="22"/>
                <w:szCs w:val="22"/>
              </w:rPr>
            </w:pPr>
          </w:p>
        </w:tc>
        <w:tc>
          <w:tcPr>
            <w:tcW w:w="662" w:type="pct"/>
            <w:vAlign w:val="center"/>
          </w:tcPr>
          <w:p w14:paraId="18F43E8B">
            <w:pPr>
              <w:widowControl/>
              <w:jc w:val="center"/>
              <w:rPr>
                <w:rFonts w:hint="eastAsia" w:ascii="宋体" w:hAnsi="宋体" w:eastAsia="宋体"/>
                <w:sz w:val="22"/>
                <w:szCs w:val="22"/>
              </w:rPr>
            </w:pPr>
          </w:p>
        </w:tc>
      </w:tr>
      <w:tr w14:paraId="1BB5D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34" w:type="pct"/>
            <w:shd w:val="clear" w:color="auto" w:fill="auto"/>
            <w:noWrap/>
            <w:vAlign w:val="center"/>
          </w:tcPr>
          <w:p w14:paraId="41914FCD">
            <w:pPr>
              <w:widowControl/>
              <w:jc w:val="center"/>
              <w:textAlignment w:val="center"/>
              <w:rPr>
                <w:rFonts w:ascii="宋体" w:hAnsi="宋体" w:eastAsia="宋体" w:cs="宋体"/>
                <w:bCs/>
                <w:sz w:val="22"/>
                <w:szCs w:val="22"/>
              </w:rPr>
            </w:pPr>
            <w:r>
              <w:rPr>
                <w:rFonts w:hint="eastAsia" w:ascii="宋体" w:hAnsi="宋体" w:eastAsia="宋体" w:cs="宋体"/>
                <w:bCs/>
                <w:sz w:val="22"/>
                <w:szCs w:val="22"/>
              </w:rPr>
              <w:t>4</w:t>
            </w:r>
          </w:p>
        </w:tc>
        <w:tc>
          <w:tcPr>
            <w:tcW w:w="1493" w:type="pct"/>
            <w:shd w:val="clear" w:color="auto" w:fill="auto"/>
            <w:vAlign w:val="center"/>
          </w:tcPr>
          <w:p w14:paraId="0339A480">
            <w:pPr>
              <w:jc w:val="center"/>
              <w:rPr>
                <w:rFonts w:ascii="宋体" w:hAnsi="宋体" w:eastAsia="宋体"/>
                <w:sz w:val="22"/>
                <w:szCs w:val="22"/>
              </w:rPr>
            </w:pPr>
            <w:r>
              <w:rPr>
                <w:rFonts w:hint="eastAsia" w:ascii="宋体" w:hAnsi="宋体" w:eastAsia="宋体"/>
                <w:sz w:val="22"/>
                <w:szCs w:val="22"/>
              </w:rPr>
              <w:t>双杠保护垫</w:t>
            </w:r>
          </w:p>
        </w:tc>
        <w:tc>
          <w:tcPr>
            <w:tcW w:w="1087" w:type="pct"/>
            <w:shd w:val="clear" w:color="auto" w:fill="auto"/>
            <w:vAlign w:val="center"/>
          </w:tcPr>
          <w:p w14:paraId="0E591307">
            <w:pPr>
              <w:jc w:val="center"/>
              <w:rPr>
                <w:rFonts w:ascii="宋体" w:hAnsi="宋体" w:eastAsia="宋体"/>
                <w:sz w:val="22"/>
                <w:szCs w:val="22"/>
              </w:rPr>
            </w:pPr>
            <w:r>
              <w:rPr>
                <w:rFonts w:hint="eastAsia" w:ascii="宋体" w:hAnsi="宋体" w:eastAsia="宋体"/>
                <w:sz w:val="22"/>
                <w:szCs w:val="22"/>
              </w:rPr>
              <w:t>套</w:t>
            </w:r>
          </w:p>
        </w:tc>
        <w:tc>
          <w:tcPr>
            <w:tcW w:w="659" w:type="pct"/>
            <w:shd w:val="clear" w:color="auto" w:fill="auto"/>
            <w:vAlign w:val="center"/>
          </w:tcPr>
          <w:p w14:paraId="0F2F9F96">
            <w:pPr>
              <w:jc w:val="center"/>
              <w:rPr>
                <w:rFonts w:ascii="宋体" w:hAnsi="宋体" w:eastAsia="宋体"/>
                <w:color w:val="000000"/>
                <w:sz w:val="22"/>
                <w:szCs w:val="22"/>
              </w:rPr>
            </w:pPr>
            <w:r>
              <w:rPr>
                <w:rFonts w:hint="eastAsia" w:ascii="宋体" w:hAnsi="宋体" w:eastAsia="宋体"/>
                <w:color w:val="000000"/>
                <w:sz w:val="22"/>
                <w:szCs w:val="22"/>
              </w:rPr>
              <w:t>1</w:t>
            </w:r>
          </w:p>
        </w:tc>
        <w:tc>
          <w:tcPr>
            <w:tcW w:w="662" w:type="pct"/>
            <w:vAlign w:val="center"/>
          </w:tcPr>
          <w:p w14:paraId="576F95E9">
            <w:pPr>
              <w:widowControl/>
              <w:jc w:val="center"/>
              <w:rPr>
                <w:rFonts w:ascii="宋体" w:hAnsi="宋体" w:eastAsia="宋体"/>
                <w:sz w:val="22"/>
                <w:szCs w:val="22"/>
              </w:rPr>
            </w:pPr>
          </w:p>
        </w:tc>
        <w:tc>
          <w:tcPr>
            <w:tcW w:w="662" w:type="pct"/>
            <w:vAlign w:val="center"/>
          </w:tcPr>
          <w:p w14:paraId="38C4355F">
            <w:pPr>
              <w:widowControl/>
              <w:jc w:val="center"/>
              <w:rPr>
                <w:rFonts w:hint="eastAsia" w:ascii="宋体" w:hAnsi="宋体" w:eastAsia="宋体"/>
                <w:sz w:val="22"/>
                <w:szCs w:val="22"/>
              </w:rPr>
            </w:pPr>
          </w:p>
        </w:tc>
      </w:tr>
      <w:tr w14:paraId="07A714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34" w:type="pct"/>
            <w:shd w:val="clear" w:color="auto" w:fill="auto"/>
            <w:noWrap/>
            <w:vAlign w:val="center"/>
          </w:tcPr>
          <w:p w14:paraId="47924502">
            <w:pPr>
              <w:widowControl/>
              <w:jc w:val="center"/>
              <w:textAlignment w:val="center"/>
              <w:rPr>
                <w:rFonts w:ascii="宋体" w:hAnsi="宋体" w:eastAsia="宋体" w:cs="宋体"/>
                <w:bCs/>
                <w:sz w:val="22"/>
                <w:szCs w:val="22"/>
              </w:rPr>
            </w:pPr>
            <w:r>
              <w:rPr>
                <w:rFonts w:hint="eastAsia" w:ascii="宋体" w:hAnsi="宋体" w:eastAsia="宋体" w:cs="宋体"/>
                <w:bCs/>
                <w:sz w:val="22"/>
                <w:szCs w:val="22"/>
              </w:rPr>
              <w:t>5</w:t>
            </w:r>
          </w:p>
        </w:tc>
        <w:tc>
          <w:tcPr>
            <w:tcW w:w="1493" w:type="pct"/>
            <w:shd w:val="clear" w:color="auto" w:fill="auto"/>
            <w:vAlign w:val="center"/>
          </w:tcPr>
          <w:p w14:paraId="0BAB0F9C">
            <w:pPr>
              <w:jc w:val="center"/>
              <w:rPr>
                <w:rFonts w:ascii="宋体" w:hAnsi="宋体" w:eastAsia="宋体"/>
                <w:sz w:val="22"/>
                <w:szCs w:val="22"/>
              </w:rPr>
            </w:pPr>
            <w:r>
              <w:rPr>
                <w:rFonts w:hint="eastAsia" w:ascii="宋体" w:hAnsi="宋体" w:eastAsia="宋体"/>
                <w:sz w:val="22"/>
                <w:szCs w:val="22"/>
              </w:rPr>
              <w:t>S助跳板</w:t>
            </w:r>
          </w:p>
        </w:tc>
        <w:tc>
          <w:tcPr>
            <w:tcW w:w="1087" w:type="pct"/>
            <w:shd w:val="clear" w:color="auto" w:fill="auto"/>
            <w:vAlign w:val="center"/>
          </w:tcPr>
          <w:p w14:paraId="1F26D1AC">
            <w:pPr>
              <w:jc w:val="center"/>
              <w:rPr>
                <w:rFonts w:ascii="宋体" w:hAnsi="宋体" w:eastAsia="宋体"/>
                <w:sz w:val="22"/>
                <w:szCs w:val="22"/>
              </w:rPr>
            </w:pPr>
            <w:r>
              <w:rPr>
                <w:rFonts w:hint="eastAsia" w:ascii="宋体" w:hAnsi="宋体" w:eastAsia="宋体"/>
                <w:sz w:val="22"/>
                <w:szCs w:val="22"/>
              </w:rPr>
              <w:t>件</w:t>
            </w:r>
          </w:p>
        </w:tc>
        <w:tc>
          <w:tcPr>
            <w:tcW w:w="659" w:type="pct"/>
            <w:shd w:val="clear" w:color="auto" w:fill="auto"/>
            <w:vAlign w:val="center"/>
          </w:tcPr>
          <w:p w14:paraId="6A209CE8">
            <w:pPr>
              <w:jc w:val="center"/>
              <w:rPr>
                <w:rFonts w:ascii="宋体" w:hAnsi="宋体" w:eastAsia="宋体"/>
                <w:color w:val="000000"/>
                <w:sz w:val="22"/>
                <w:szCs w:val="22"/>
              </w:rPr>
            </w:pPr>
            <w:r>
              <w:rPr>
                <w:rFonts w:hint="eastAsia" w:ascii="宋体" w:hAnsi="宋体" w:eastAsia="宋体"/>
                <w:color w:val="000000"/>
                <w:sz w:val="22"/>
                <w:szCs w:val="22"/>
              </w:rPr>
              <w:t>2</w:t>
            </w:r>
          </w:p>
        </w:tc>
        <w:tc>
          <w:tcPr>
            <w:tcW w:w="662" w:type="pct"/>
            <w:vAlign w:val="center"/>
          </w:tcPr>
          <w:p w14:paraId="1CAA7A1B">
            <w:pPr>
              <w:widowControl/>
              <w:jc w:val="center"/>
              <w:rPr>
                <w:rFonts w:ascii="宋体" w:hAnsi="宋体" w:eastAsia="宋体"/>
                <w:sz w:val="22"/>
                <w:szCs w:val="22"/>
              </w:rPr>
            </w:pPr>
          </w:p>
        </w:tc>
        <w:tc>
          <w:tcPr>
            <w:tcW w:w="662" w:type="pct"/>
            <w:vAlign w:val="center"/>
          </w:tcPr>
          <w:p w14:paraId="09EDA57D">
            <w:pPr>
              <w:widowControl/>
              <w:jc w:val="center"/>
              <w:rPr>
                <w:rFonts w:hint="eastAsia" w:ascii="宋体" w:hAnsi="宋体" w:eastAsia="宋体"/>
                <w:sz w:val="22"/>
                <w:szCs w:val="22"/>
              </w:rPr>
            </w:pPr>
          </w:p>
        </w:tc>
      </w:tr>
      <w:tr w14:paraId="76911D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34" w:type="pct"/>
            <w:shd w:val="clear" w:color="auto" w:fill="auto"/>
            <w:noWrap/>
            <w:vAlign w:val="center"/>
          </w:tcPr>
          <w:p w14:paraId="3F927199">
            <w:pPr>
              <w:widowControl/>
              <w:jc w:val="center"/>
              <w:textAlignment w:val="center"/>
              <w:rPr>
                <w:rFonts w:ascii="宋体" w:hAnsi="宋体" w:eastAsia="宋体" w:cs="宋体"/>
                <w:bCs/>
                <w:sz w:val="22"/>
                <w:szCs w:val="22"/>
              </w:rPr>
            </w:pPr>
            <w:r>
              <w:rPr>
                <w:rFonts w:hint="eastAsia" w:ascii="宋体" w:hAnsi="宋体" w:eastAsia="宋体" w:cs="宋体"/>
                <w:bCs/>
                <w:sz w:val="22"/>
                <w:szCs w:val="22"/>
              </w:rPr>
              <w:t>6</w:t>
            </w:r>
          </w:p>
        </w:tc>
        <w:tc>
          <w:tcPr>
            <w:tcW w:w="1493" w:type="pct"/>
            <w:shd w:val="clear" w:color="auto" w:fill="auto"/>
            <w:vAlign w:val="center"/>
          </w:tcPr>
          <w:p w14:paraId="554F19D5">
            <w:pPr>
              <w:jc w:val="center"/>
              <w:rPr>
                <w:rFonts w:ascii="宋体" w:hAnsi="宋体" w:eastAsia="宋体"/>
                <w:sz w:val="22"/>
                <w:szCs w:val="22"/>
              </w:rPr>
            </w:pPr>
            <w:r>
              <w:rPr>
                <w:rFonts w:hint="eastAsia" w:ascii="宋体" w:hAnsi="宋体" w:eastAsia="宋体"/>
                <w:sz w:val="22"/>
                <w:szCs w:val="22"/>
              </w:rPr>
              <w:t>山羊</w:t>
            </w:r>
          </w:p>
        </w:tc>
        <w:tc>
          <w:tcPr>
            <w:tcW w:w="1087" w:type="pct"/>
            <w:shd w:val="clear" w:color="auto" w:fill="auto"/>
            <w:vAlign w:val="center"/>
          </w:tcPr>
          <w:p w14:paraId="44B7D816">
            <w:pPr>
              <w:jc w:val="center"/>
              <w:rPr>
                <w:rFonts w:ascii="宋体" w:hAnsi="宋体" w:eastAsia="宋体"/>
                <w:sz w:val="22"/>
                <w:szCs w:val="22"/>
              </w:rPr>
            </w:pPr>
            <w:r>
              <w:rPr>
                <w:rFonts w:hint="eastAsia" w:ascii="宋体" w:hAnsi="宋体" w:eastAsia="宋体"/>
                <w:sz w:val="22"/>
                <w:szCs w:val="22"/>
              </w:rPr>
              <w:t>只</w:t>
            </w:r>
          </w:p>
        </w:tc>
        <w:tc>
          <w:tcPr>
            <w:tcW w:w="659" w:type="pct"/>
            <w:shd w:val="clear" w:color="auto" w:fill="auto"/>
            <w:vAlign w:val="center"/>
          </w:tcPr>
          <w:p w14:paraId="79157B0F">
            <w:pPr>
              <w:jc w:val="center"/>
              <w:rPr>
                <w:rFonts w:ascii="宋体" w:hAnsi="宋体" w:eastAsia="宋体"/>
                <w:color w:val="000000"/>
                <w:sz w:val="22"/>
                <w:szCs w:val="22"/>
              </w:rPr>
            </w:pPr>
            <w:r>
              <w:rPr>
                <w:rFonts w:hint="eastAsia" w:ascii="宋体" w:hAnsi="宋体" w:eastAsia="宋体"/>
                <w:color w:val="000000"/>
                <w:sz w:val="22"/>
                <w:szCs w:val="22"/>
              </w:rPr>
              <w:t>2</w:t>
            </w:r>
          </w:p>
        </w:tc>
        <w:tc>
          <w:tcPr>
            <w:tcW w:w="662" w:type="pct"/>
            <w:vAlign w:val="center"/>
          </w:tcPr>
          <w:p w14:paraId="53506C9A">
            <w:pPr>
              <w:widowControl/>
              <w:jc w:val="center"/>
              <w:rPr>
                <w:rFonts w:ascii="宋体" w:hAnsi="宋体" w:eastAsia="宋体"/>
                <w:sz w:val="22"/>
                <w:szCs w:val="22"/>
              </w:rPr>
            </w:pPr>
          </w:p>
        </w:tc>
        <w:tc>
          <w:tcPr>
            <w:tcW w:w="662" w:type="pct"/>
            <w:vAlign w:val="center"/>
          </w:tcPr>
          <w:p w14:paraId="52E2572C">
            <w:pPr>
              <w:widowControl/>
              <w:jc w:val="center"/>
              <w:rPr>
                <w:rFonts w:hint="eastAsia" w:ascii="宋体" w:hAnsi="宋体" w:eastAsia="宋体"/>
                <w:sz w:val="22"/>
                <w:szCs w:val="22"/>
              </w:rPr>
            </w:pPr>
          </w:p>
        </w:tc>
      </w:tr>
      <w:tr w14:paraId="6AA02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34" w:type="pct"/>
            <w:shd w:val="clear" w:color="auto" w:fill="auto"/>
            <w:noWrap/>
            <w:vAlign w:val="center"/>
          </w:tcPr>
          <w:p w14:paraId="104CFA4F">
            <w:pPr>
              <w:widowControl/>
              <w:jc w:val="center"/>
              <w:textAlignment w:val="center"/>
              <w:rPr>
                <w:rFonts w:ascii="宋体" w:hAnsi="宋体" w:eastAsia="宋体" w:cs="宋体"/>
                <w:bCs/>
                <w:sz w:val="22"/>
                <w:szCs w:val="22"/>
              </w:rPr>
            </w:pPr>
            <w:r>
              <w:rPr>
                <w:rFonts w:hint="eastAsia" w:ascii="宋体" w:hAnsi="宋体" w:eastAsia="宋体" w:cs="宋体"/>
                <w:bCs/>
                <w:sz w:val="22"/>
                <w:szCs w:val="22"/>
              </w:rPr>
              <w:t>7</w:t>
            </w:r>
          </w:p>
        </w:tc>
        <w:tc>
          <w:tcPr>
            <w:tcW w:w="1493" w:type="pct"/>
            <w:shd w:val="clear" w:color="auto" w:fill="auto"/>
            <w:vAlign w:val="center"/>
          </w:tcPr>
          <w:p w14:paraId="77E8DA3E">
            <w:pPr>
              <w:jc w:val="center"/>
              <w:rPr>
                <w:rFonts w:ascii="宋体" w:hAnsi="宋体" w:eastAsia="宋体"/>
                <w:sz w:val="22"/>
                <w:szCs w:val="22"/>
              </w:rPr>
            </w:pPr>
            <w:r>
              <w:rPr>
                <w:rFonts w:hint="eastAsia" w:ascii="宋体" w:hAnsi="宋体" w:eastAsia="宋体"/>
                <w:sz w:val="22"/>
                <w:szCs w:val="22"/>
              </w:rPr>
              <w:t>双格肋木</w:t>
            </w:r>
          </w:p>
        </w:tc>
        <w:tc>
          <w:tcPr>
            <w:tcW w:w="1087" w:type="pct"/>
            <w:shd w:val="clear" w:color="auto" w:fill="auto"/>
            <w:vAlign w:val="center"/>
          </w:tcPr>
          <w:p w14:paraId="703AB1DB">
            <w:pPr>
              <w:jc w:val="center"/>
              <w:rPr>
                <w:rFonts w:ascii="宋体" w:hAnsi="宋体" w:eastAsia="宋体"/>
                <w:sz w:val="22"/>
                <w:szCs w:val="22"/>
              </w:rPr>
            </w:pPr>
            <w:r>
              <w:rPr>
                <w:rFonts w:hint="eastAsia" w:ascii="宋体" w:hAnsi="宋体" w:eastAsia="宋体"/>
                <w:sz w:val="22"/>
                <w:szCs w:val="22"/>
              </w:rPr>
              <w:t>付</w:t>
            </w:r>
          </w:p>
        </w:tc>
        <w:tc>
          <w:tcPr>
            <w:tcW w:w="659" w:type="pct"/>
            <w:shd w:val="clear" w:color="auto" w:fill="auto"/>
            <w:vAlign w:val="center"/>
          </w:tcPr>
          <w:p w14:paraId="3CFF769F">
            <w:pPr>
              <w:jc w:val="center"/>
              <w:rPr>
                <w:rFonts w:ascii="宋体" w:hAnsi="宋体" w:eastAsia="宋体"/>
                <w:color w:val="000000"/>
                <w:sz w:val="22"/>
                <w:szCs w:val="22"/>
              </w:rPr>
            </w:pPr>
            <w:r>
              <w:rPr>
                <w:rFonts w:hint="eastAsia" w:ascii="宋体" w:hAnsi="宋体" w:eastAsia="宋体"/>
                <w:color w:val="000000"/>
                <w:sz w:val="22"/>
                <w:szCs w:val="22"/>
              </w:rPr>
              <w:t>2</w:t>
            </w:r>
          </w:p>
        </w:tc>
        <w:tc>
          <w:tcPr>
            <w:tcW w:w="662" w:type="pct"/>
            <w:vAlign w:val="center"/>
          </w:tcPr>
          <w:p w14:paraId="4367D57E">
            <w:pPr>
              <w:widowControl/>
              <w:jc w:val="center"/>
              <w:rPr>
                <w:rFonts w:ascii="宋体" w:hAnsi="宋体" w:eastAsia="宋体"/>
                <w:sz w:val="22"/>
                <w:szCs w:val="22"/>
              </w:rPr>
            </w:pPr>
          </w:p>
        </w:tc>
        <w:tc>
          <w:tcPr>
            <w:tcW w:w="662" w:type="pct"/>
            <w:vAlign w:val="center"/>
          </w:tcPr>
          <w:p w14:paraId="3F67B99E">
            <w:pPr>
              <w:widowControl/>
              <w:jc w:val="center"/>
              <w:rPr>
                <w:rFonts w:hint="eastAsia" w:ascii="宋体" w:hAnsi="宋体" w:eastAsia="宋体"/>
                <w:sz w:val="22"/>
                <w:szCs w:val="22"/>
              </w:rPr>
            </w:pPr>
          </w:p>
        </w:tc>
      </w:tr>
      <w:tr w14:paraId="7DA47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34" w:type="pct"/>
            <w:shd w:val="clear" w:color="auto" w:fill="auto"/>
            <w:noWrap/>
            <w:vAlign w:val="center"/>
          </w:tcPr>
          <w:p w14:paraId="31980958">
            <w:pPr>
              <w:widowControl/>
              <w:jc w:val="center"/>
              <w:textAlignment w:val="center"/>
              <w:rPr>
                <w:rFonts w:ascii="宋体" w:hAnsi="宋体" w:eastAsia="宋体" w:cs="宋体"/>
                <w:bCs/>
                <w:sz w:val="22"/>
                <w:szCs w:val="22"/>
              </w:rPr>
            </w:pPr>
            <w:r>
              <w:rPr>
                <w:rFonts w:hint="eastAsia" w:ascii="宋体" w:hAnsi="宋体" w:eastAsia="宋体" w:cs="宋体"/>
                <w:bCs/>
                <w:sz w:val="22"/>
                <w:szCs w:val="22"/>
              </w:rPr>
              <w:t>8</w:t>
            </w:r>
          </w:p>
        </w:tc>
        <w:tc>
          <w:tcPr>
            <w:tcW w:w="1493" w:type="pct"/>
            <w:shd w:val="clear" w:color="auto" w:fill="auto"/>
            <w:vAlign w:val="center"/>
          </w:tcPr>
          <w:p w14:paraId="2340F047">
            <w:pPr>
              <w:jc w:val="center"/>
              <w:rPr>
                <w:rFonts w:ascii="宋体" w:hAnsi="宋体" w:eastAsia="宋体"/>
                <w:sz w:val="22"/>
                <w:szCs w:val="22"/>
              </w:rPr>
            </w:pPr>
            <w:r>
              <w:rPr>
                <w:rFonts w:hint="eastAsia" w:ascii="宋体" w:hAnsi="宋体" w:eastAsia="宋体"/>
                <w:sz w:val="22"/>
                <w:szCs w:val="22"/>
              </w:rPr>
              <w:t>双杠倒立架</w:t>
            </w:r>
          </w:p>
        </w:tc>
        <w:tc>
          <w:tcPr>
            <w:tcW w:w="1087" w:type="pct"/>
            <w:shd w:val="clear" w:color="auto" w:fill="auto"/>
            <w:vAlign w:val="center"/>
          </w:tcPr>
          <w:p w14:paraId="411F8FD6">
            <w:pPr>
              <w:jc w:val="center"/>
              <w:rPr>
                <w:rFonts w:ascii="宋体" w:hAnsi="宋体" w:eastAsia="宋体"/>
                <w:sz w:val="22"/>
                <w:szCs w:val="22"/>
              </w:rPr>
            </w:pPr>
            <w:r>
              <w:rPr>
                <w:rFonts w:hint="eastAsia" w:ascii="宋体" w:hAnsi="宋体" w:eastAsia="宋体"/>
                <w:sz w:val="22"/>
                <w:szCs w:val="22"/>
              </w:rPr>
              <w:t>付</w:t>
            </w:r>
          </w:p>
        </w:tc>
        <w:tc>
          <w:tcPr>
            <w:tcW w:w="659" w:type="pct"/>
            <w:shd w:val="clear" w:color="auto" w:fill="auto"/>
            <w:vAlign w:val="center"/>
          </w:tcPr>
          <w:p w14:paraId="59AE1517">
            <w:pPr>
              <w:jc w:val="center"/>
              <w:rPr>
                <w:rFonts w:ascii="宋体" w:hAnsi="宋体" w:eastAsia="宋体"/>
                <w:color w:val="000000"/>
                <w:sz w:val="22"/>
                <w:szCs w:val="22"/>
              </w:rPr>
            </w:pPr>
            <w:r>
              <w:rPr>
                <w:rFonts w:hint="eastAsia" w:ascii="宋体" w:hAnsi="宋体" w:eastAsia="宋体"/>
                <w:color w:val="000000"/>
                <w:sz w:val="22"/>
                <w:szCs w:val="22"/>
              </w:rPr>
              <w:t>2</w:t>
            </w:r>
          </w:p>
        </w:tc>
        <w:tc>
          <w:tcPr>
            <w:tcW w:w="662" w:type="pct"/>
            <w:vAlign w:val="center"/>
          </w:tcPr>
          <w:p w14:paraId="6EAB8146">
            <w:pPr>
              <w:widowControl/>
              <w:jc w:val="center"/>
              <w:rPr>
                <w:rFonts w:ascii="宋体" w:hAnsi="宋体" w:eastAsia="宋体"/>
                <w:sz w:val="22"/>
                <w:szCs w:val="22"/>
              </w:rPr>
            </w:pPr>
          </w:p>
        </w:tc>
        <w:tc>
          <w:tcPr>
            <w:tcW w:w="662" w:type="pct"/>
            <w:vAlign w:val="center"/>
          </w:tcPr>
          <w:p w14:paraId="5D88B246">
            <w:pPr>
              <w:widowControl/>
              <w:jc w:val="center"/>
              <w:rPr>
                <w:rFonts w:hint="eastAsia" w:ascii="宋体" w:hAnsi="宋体" w:eastAsia="宋体"/>
                <w:sz w:val="22"/>
                <w:szCs w:val="22"/>
              </w:rPr>
            </w:pPr>
          </w:p>
        </w:tc>
      </w:tr>
      <w:tr w14:paraId="13D6B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34" w:type="pct"/>
            <w:shd w:val="clear" w:color="auto" w:fill="auto"/>
            <w:noWrap/>
            <w:vAlign w:val="center"/>
          </w:tcPr>
          <w:p w14:paraId="48504CC6">
            <w:pPr>
              <w:widowControl/>
              <w:jc w:val="center"/>
              <w:textAlignment w:val="center"/>
              <w:rPr>
                <w:rFonts w:ascii="宋体" w:hAnsi="宋体" w:eastAsia="宋体" w:cs="宋体"/>
                <w:bCs/>
                <w:sz w:val="22"/>
                <w:szCs w:val="22"/>
              </w:rPr>
            </w:pPr>
            <w:r>
              <w:rPr>
                <w:rFonts w:hint="eastAsia" w:ascii="宋体" w:hAnsi="宋体" w:eastAsia="宋体" w:cs="宋体"/>
                <w:bCs/>
                <w:sz w:val="22"/>
                <w:szCs w:val="22"/>
              </w:rPr>
              <w:t>9</w:t>
            </w:r>
          </w:p>
        </w:tc>
        <w:tc>
          <w:tcPr>
            <w:tcW w:w="1493" w:type="pct"/>
            <w:shd w:val="clear" w:color="auto" w:fill="auto"/>
            <w:vAlign w:val="center"/>
          </w:tcPr>
          <w:p w14:paraId="219965A0">
            <w:pPr>
              <w:jc w:val="center"/>
              <w:rPr>
                <w:rFonts w:ascii="宋体" w:hAnsi="宋体" w:eastAsia="宋体"/>
                <w:sz w:val="22"/>
                <w:szCs w:val="22"/>
              </w:rPr>
            </w:pPr>
            <w:r>
              <w:rPr>
                <w:rFonts w:hint="eastAsia" w:ascii="宋体" w:hAnsi="宋体" w:eastAsia="宋体"/>
                <w:sz w:val="22"/>
                <w:szCs w:val="22"/>
              </w:rPr>
              <w:t>单杠倒立架</w:t>
            </w:r>
          </w:p>
        </w:tc>
        <w:tc>
          <w:tcPr>
            <w:tcW w:w="1087" w:type="pct"/>
            <w:shd w:val="clear" w:color="auto" w:fill="auto"/>
            <w:vAlign w:val="center"/>
          </w:tcPr>
          <w:p w14:paraId="6AECEA92">
            <w:pPr>
              <w:jc w:val="center"/>
              <w:rPr>
                <w:rFonts w:ascii="宋体" w:hAnsi="宋体" w:eastAsia="宋体"/>
                <w:sz w:val="22"/>
                <w:szCs w:val="22"/>
              </w:rPr>
            </w:pPr>
            <w:r>
              <w:rPr>
                <w:rFonts w:hint="eastAsia" w:ascii="宋体" w:hAnsi="宋体" w:eastAsia="宋体"/>
                <w:sz w:val="22"/>
                <w:szCs w:val="22"/>
              </w:rPr>
              <w:t>付</w:t>
            </w:r>
          </w:p>
        </w:tc>
        <w:tc>
          <w:tcPr>
            <w:tcW w:w="659" w:type="pct"/>
            <w:shd w:val="clear" w:color="auto" w:fill="auto"/>
            <w:vAlign w:val="center"/>
          </w:tcPr>
          <w:p w14:paraId="6996DEFE">
            <w:pPr>
              <w:jc w:val="center"/>
              <w:rPr>
                <w:rFonts w:ascii="宋体" w:hAnsi="宋体" w:eastAsia="宋体"/>
                <w:color w:val="000000"/>
                <w:sz w:val="22"/>
                <w:szCs w:val="22"/>
              </w:rPr>
            </w:pPr>
            <w:r>
              <w:rPr>
                <w:rFonts w:hint="eastAsia" w:ascii="宋体" w:hAnsi="宋体" w:eastAsia="宋体"/>
                <w:color w:val="000000"/>
                <w:sz w:val="22"/>
                <w:szCs w:val="22"/>
              </w:rPr>
              <w:t>2</w:t>
            </w:r>
          </w:p>
        </w:tc>
        <w:tc>
          <w:tcPr>
            <w:tcW w:w="662" w:type="pct"/>
            <w:vAlign w:val="center"/>
          </w:tcPr>
          <w:p w14:paraId="39EDCD55">
            <w:pPr>
              <w:widowControl/>
              <w:jc w:val="center"/>
              <w:rPr>
                <w:rFonts w:ascii="宋体" w:hAnsi="宋体" w:eastAsia="宋体"/>
                <w:sz w:val="22"/>
                <w:szCs w:val="22"/>
              </w:rPr>
            </w:pPr>
          </w:p>
        </w:tc>
        <w:tc>
          <w:tcPr>
            <w:tcW w:w="662" w:type="pct"/>
            <w:vAlign w:val="center"/>
          </w:tcPr>
          <w:p w14:paraId="310E1D40">
            <w:pPr>
              <w:widowControl/>
              <w:jc w:val="center"/>
              <w:rPr>
                <w:rFonts w:hint="eastAsia" w:ascii="宋体" w:hAnsi="宋体" w:eastAsia="宋体"/>
                <w:sz w:val="22"/>
                <w:szCs w:val="22"/>
              </w:rPr>
            </w:pPr>
          </w:p>
        </w:tc>
      </w:tr>
      <w:tr w14:paraId="73287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34" w:type="pct"/>
            <w:shd w:val="clear" w:color="auto" w:fill="auto"/>
            <w:noWrap/>
            <w:vAlign w:val="center"/>
          </w:tcPr>
          <w:p w14:paraId="28415C2F">
            <w:pPr>
              <w:widowControl/>
              <w:jc w:val="center"/>
              <w:textAlignment w:val="center"/>
              <w:rPr>
                <w:rFonts w:ascii="宋体" w:hAnsi="宋体" w:eastAsia="宋体" w:cs="宋体"/>
                <w:bCs/>
                <w:sz w:val="22"/>
                <w:szCs w:val="22"/>
              </w:rPr>
            </w:pPr>
            <w:r>
              <w:rPr>
                <w:rFonts w:ascii="宋体" w:hAnsi="宋体" w:eastAsia="宋体" w:cs="宋体"/>
                <w:bCs/>
                <w:sz w:val="22"/>
                <w:szCs w:val="22"/>
              </w:rPr>
              <w:t>10</w:t>
            </w:r>
          </w:p>
        </w:tc>
        <w:tc>
          <w:tcPr>
            <w:tcW w:w="1493" w:type="pct"/>
            <w:shd w:val="clear" w:color="auto" w:fill="auto"/>
            <w:vAlign w:val="center"/>
          </w:tcPr>
          <w:p w14:paraId="63BC3EC5">
            <w:pPr>
              <w:jc w:val="center"/>
              <w:rPr>
                <w:rFonts w:ascii="宋体" w:hAnsi="宋体" w:eastAsia="宋体"/>
                <w:sz w:val="22"/>
                <w:szCs w:val="22"/>
              </w:rPr>
            </w:pPr>
            <w:r>
              <w:rPr>
                <w:rFonts w:hint="eastAsia" w:ascii="宋体" w:hAnsi="宋体" w:eastAsia="宋体"/>
                <w:sz w:val="22"/>
                <w:szCs w:val="22"/>
              </w:rPr>
              <w:t>镁粉盒</w:t>
            </w:r>
          </w:p>
        </w:tc>
        <w:tc>
          <w:tcPr>
            <w:tcW w:w="1087" w:type="pct"/>
            <w:shd w:val="clear" w:color="auto" w:fill="auto"/>
            <w:vAlign w:val="center"/>
          </w:tcPr>
          <w:p w14:paraId="7543A8E9">
            <w:pPr>
              <w:jc w:val="center"/>
              <w:rPr>
                <w:rFonts w:ascii="宋体" w:hAnsi="宋体" w:eastAsia="宋体"/>
                <w:sz w:val="22"/>
                <w:szCs w:val="22"/>
              </w:rPr>
            </w:pPr>
            <w:r>
              <w:rPr>
                <w:rFonts w:hint="eastAsia" w:ascii="宋体" w:hAnsi="宋体" w:eastAsia="宋体"/>
                <w:sz w:val="22"/>
                <w:szCs w:val="22"/>
              </w:rPr>
              <w:t>个</w:t>
            </w:r>
          </w:p>
        </w:tc>
        <w:tc>
          <w:tcPr>
            <w:tcW w:w="659" w:type="pct"/>
            <w:shd w:val="clear" w:color="auto" w:fill="auto"/>
            <w:vAlign w:val="center"/>
          </w:tcPr>
          <w:p w14:paraId="4F132380">
            <w:pPr>
              <w:jc w:val="center"/>
              <w:rPr>
                <w:rFonts w:ascii="宋体" w:hAnsi="宋体" w:eastAsia="宋体"/>
                <w:color w:val="000000"/>
                <w:sz w:val="22"/>
                <w:szCs w:val="22"/>
              </w:rPr>
            </w:pPr>
            <w:r>
              <w:rPr>
                <w:rFonts w:hint="eastAsia" w:ascii="宋体" w:hAnsi="宋体" w:eastAsia="宋体"/>
                <w:color w:val="000000"/>
                <w:sz w:val="22"/>
                <w:szCs w:val="22"/>
              </w:rPr>
              <w:t>2</w:t>
            </w:r>
          </w:p>
        </w:tc>
        <w:tc>
          <w:tcPr>
            <w:tcW w:w="662" w:type="pct"/>
            <w:vAlign w:val="center"/>
          </w:tcPr>
          <w:p w14:paraId="679C9876">
            <w:pPr>
              <w:widowControl/>
              <w:jc w:val="center"/>
              <w:rPr>
                <w:rFonts w:ascii="宋体" w:hAnsi="宋体" w:eastAsia="宋体"/>
                <w:sz w:val="22"/>
                <w:szCs w:val="22"/>
              </w:rPr>
            </w:pPr>
          </w:p>
        </w:tc>
        <w:tc>
          <w:tcPr>
            <w:tcW w:w="662" w:type="pct"/>
            <w:vAlign w:val="center"/>
          </w:tcPr>
          <w:p w14:paraId="68287FB4">
            <w:pPr>
              <w:widowControl/>
              <w:jc w:val="center"/>
              <w:rPr>
                <w:rFonts w:hint="eastAsia" w:ascii="宋体" w:hAnsi="宋体" w:eastAsia="宋体"/>
                <w:sz w:val="22"/>
                <w:szCs w:val="22"/>
              </w:rPr>
            </w:pPr>
          </w:p>
        </w:tc>
      </w:tr>
      <w:tr w14:paraId="3C5C32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34" w:type="pct"/>
            <w:shd w:val="clear" w:color="auto" w:fill="auto"/>
            <w:noWrap/>
            <w:vAlign w:val="center"/>
          </w:tcPr>
          <w:p w14:paraId="2BA3174C">
            <w:pPr>
              <w:widowControl/>
              <w:jc w:val="center"/>
              <w:textAlignment w:val="center"/>
              <w:rPr>
                <w:rFonts w:ascii="宋体" w:hAnsi="宋体" w:eastAsia="宋体" w:cs="宋体"/>
                <w:bCs/>
                <w:sz w:val="22"/>
                <w:szCs w:val="22"/>
              </w:rPr>
            </w:pPr>
            <w:r>
              <w:rPr>
                <w:rFonts w:hint="eastAsia" w:ascii="宋体" w:hAnsi="宋体" w:eastAsia="宋体" w:cs="宋体"/>
                <w:bCs/>
                <w:sz w:val="22"/>
                <w:szCs w:val="22"/>
              </w:rPr>
              <w:t>1</w:t>
            </w:r>
            <w:r>
              <w:rPr>
                <w:rFonts w:ascii="宋体" w:hAnsi="宋体" w:eastAsia="宋体" w:cs="宋体"/>
                <w:bCs/>
                <w:sz w:val="22"/>
                <w:szCs w:val="22"/>
              </w:rPr>
              <w:t>1</w:t>
            </w:r>
          </w:p>
        </w:tc>
        <w:tc>
          <w:tcPr>
            <w:tcW w:w="1493" w:type="pct"/>
            <w:shd w:val="clear" w:color="auto" w:fill="auto"/>
            <w:vAlign w:val="center"/>
          </w:tcPr>
          <w:p w14:paraId="0A378611">
            <w:pPr>
              <w:jc w:val="center"/>
              <w:rPr>
                <w:rFonts w:ascii="宋体" w:hAnsi="宋体" w:eastAsia="宋体"/>
                <w:sz w:val="22"/>
                <w:szCs w:val="22"/>
              </w:rPr>
            </w:pPr>
            <w:r>
              <w:rPr>
                <w:rFonts w:hint="eastAsia" w:ascii="宋体" w:hAnsi="宋体" w:eastAsia="宋体"/>
                <w:sz w:val="22"/>
                <w:szCs w:val="22"/>
              </w:rPr>
              <w:t>防滑镁粉块</w:t>
            </w:r>
          </w:p>
        </w:tc>
        <w:tc>
          <w:tcPr>
            <w:tcW w:w="1087" w:type="pct"/>
            <w:shd w:val="clear" w:color="auto" w:fill="auto"/>
            <w:vAlign w:val="center"/>
          </w:tcPr>
          <w:p w14:paraId="3C802A19">
            <w:pPr>
              <w:jc w:val="center"/>
              <w:rPr>
                <w:rFonts w:ascii="宋体" w:hAnsi="宋体" w:eastAsia="宋体"/>
                <w:sz w:val="22"/>
                <w:szCs w:val="22"/>
              </w:rPr>
            </w:pPr>
            <w:r>
              <w:rPr>
                <w:rFonts w:hint="eastAsia" w:ascii="宋体" w:hAnsi="宋体" w:eastAsia="宋体"/>
                <w:sz w:val="22"/>
                <w:szCs w:val="22"/>
              </w:rPr>
              <w:t>箱</w:t>
            </w:r>
          </w:p>
        </w:tc>
        <w:tc>
          <w:tcPr>
            <w:tcW w:w="659" w:type="pct"/>
            <w:shd w:val="clear" w:color="auto" w:fill="auto"/>
            <w:vAlign w:val="center"/>
          </w:tcPr>
          <w:p w14:paraId="435CB4F3">
            <w:pPr>
              <w:jc w:val="center"/>
              <w:rPr>
                <w:rFonts w:ascii="宋体" w:hAnsi="宋体" w:eastAsia="宋体"/>
                <w:color w:val="000000"/>
                <w:sz w:val="22"/>
                <w:szCs w:val="22"/>
              </w:rPr>
            </w:pPr>
            <w:r>
              <w:rPr>
                <w:rFonts w:hint="eastAsia" w:ascii="宋体" w:hAnsi="宋体" w:eastAsia="宋体"/>
                <w:color w:val="000000"/>
                <w:sz w:val="22"/>
                <w:szCs w:val="22"/>
              </w:rPr>
              <w:t>2</w:t>
            </w:r>
          </w:p>
        </w:tc>
        <w:tc>
          <w:tcPr>
            <w:tcW w:w="662" w:type="pct"/>
            <w:vAlign w:val="center"/>
          </w:tcPr>
          <w:p w14:paraId="7D0E5617">
            <w:pPr>
              <w:widowControl/>
              <w:jc w:val="center"/>
              <w:rPr>
                <w:rFonts w:ascii="宋体" w:hAnsi="宋体" w:eastAsia="宋体"/>
                <w:sz w:val="22"/>
                <w:szCs w:val="22"/>
              </w:rPr>
            </w:pPr>
          </w:p>
        </w:tc>
        <w:tc>
          <w:tcPr>
            <w:tcW w:w="662" w:type="pct"/>
            <w:vAlign w:val="center"/>
          </w:tcPr>
          <w:p w14:paraId="36344BD1">
            <w:pPr>
              <w:widowControl/>
              <w:jc w:val="center"/>
              <w:rPr>
                <w:rFonts w:hint="eastAsia" w:ascii="宋体" w:hAnsi="宋体" w:eastAsia="宋体"/>
                <w:sz w:val="22"/>
                <w:szCs w:val="22"/>
              </w:rPr>
            </w:pPr>
          </w:p>
        </w:tc>
      </w:tr>
      <w:tr w14:paraId="7D0CE4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34" w:type="pct"/>
            <w:shd w:val="clear" w:color="auto" w:fill="auto"/>
            <w:noWrap/>
            <w:vAlign w:val="center"/>
          </w:tcPr>
          <w:p w14:paraId="4309B40F">
            <w:pPr>
              <w:widowControl/>
              <w:jc w:val="center"/>
              <w:textAlignment w:val="center"/>
              <w:rPr>
                <w:rFonts w:ascii="宋体" w:hAnsi="宋体" w:eastAsia="宋体" w:cs="宋体"/>
                <w:bCs/>
                <w:sz w:val="22"/>
                <w:szCs w:val="22"/>
              </w:rPr>
            </w:pPr>
            <w:r>
              <w:rPr>
                <w:rFonts w:hint="eastAsia" w:ascii="宋体" w:hAnsi="宋体" w:eastAsia="宋体" w:cs="宋体"/>
                <w:bCs/>
                <w:sz w:val="22"/>
                <w:szCs w:val="22"/>
              </w:rPr>
              <w:t>1</w:t>
            </w:r>
            <w:r>
              <w:rPr>
                <w:rFonts w:ascii="宋体" w:hAnsi="宋体" w:eastAsia="宋体" w:cs="宋体"/>
                <w:bCs/>
                <w:sz w:val="22"/>
                <w:szCs w:val="22"/>
              </w:rPr>
              <w:t>2</w:t>
            </w:r>
          </w:p>
        </w:tc>
        <w:tc>
          <w:tcPr>
            <w:tcW w:w="1493" w:type="pct"/>
            <w:shd w:val="clear" w:color="auto" w:fill="auto"/>
            <w:vAlign w:val="center"/>
          </w:tcPr>
          <w:p w14:paraId="53CF72C7">
            <w:pPr>
              <w:jc w:val="center"/>
              <w:rPr>
                <w:rFonts w:ascii="宋体" w:hAnsi="宋体" w:eastAsia="宋体"/>
                <w:sz w:val="22"/>
                <w:szCs w:val="22"/>
              </w:rPr>
            </w:pPr>
            <w:r>
              <w:rPr>
                <w:rFonts w:hint="eastAsia" w:ascii="宋体" w:hAnsi="宋体" w:eastAsia="宋体"/>
                <w:sz w:val="22"/>
                <w:szCs w:val="22"/>
              </w:rPr>
              <w:t>万向预埋件</w:t>
            </w:r>
          </w:p>
        </w:tc>
        <w:tc>
          <w:tcPr>
            <w:tcW w:w="1087" w:type="pct"/>
            <w:shd w:val="clear" w:color="auto" w:fill="auto"/>
            <w:vAlign w:val="center"/>
          </w:tcPr>
          <w:p w14:paraId="1162AF41">
            <w:pPr>
              <w:jc w:val="center"/>
              <w:rPr>
                <w:rFonts w:ascii="宋体" w:hAnsi="宋体" w:eastAsia="宋体"/>
                <w:sz w:val="22"/>
                <w:szCs w:val="22"/>
              </w:rPr>
            </w:pPr>
            <w:r>
              <w:rPr>
                <w:rFonts w:hint="eastAsia" w:ascii="宋体" w:hAnsi="宋体" w:eastAsia="宋体"/>
                <w:sz w:val="22"/>
                <w:szCs w:val="22"/>
              </w:rPr>
              <w:t>件</w:t>
            </w:r>
          </w:p>
        </w:tc>
        <w:tc>
          <w:tcPr>
            <w:tcW w:w="659" w:type="pct"/>
            <w:shd w:val="clear" w:color="auto" w:fill="auto"/>
            <w:vAlign w:val="center"/>
          </w:tcPr>
          <w:p w14:paraId="6E231A12">
            <w:pPr>
              <w:jc w:val="center"/>
              <w:rPr>
                <w:rFonts w:ascii="宋体" w:hAnsi="宋体" w:eastAsia="宋体"/>
                <w:color w:val="000000"/>
                <w:sz w:val="22"/>
                <w:szCs w:val="22"/>
              </w:rPr>
            </w:pPr>
            <w:r>
              <w:rPr>
                <w:rFonts w:hint="eastAsia" w:ascii="宋体" w:hAnsi="宋体" w:eastAsia="宋体"/>
                <w:color w:val="000000"/>
                <w:sz w:val="22"/>
                <w:szCs w:val="22"/>
              </w:rPr>
              <w:t>10</w:t>
            </w:r>
          </w:p>
        </w:tc>
        <w:tc>
          <w:tcPr>
            <w:tcW w:w="662" w:type="pct"/>
            <w:vAlign w:val="center"/>
          </w:tcPr>
          <w:p w14:paraId="550F9A88">
            <w:pPr>
              <w:widowControl/>
              <w:jc w:val="center"/>
              <w:rPr>
                <w:rFonts w:ascii="宋体" w:hAnsi="宋体" w:eastAsia="宋体"/>
                <w:sz w:val="22"/>
                <w:szCs w:val="22"/>
              </w:rPr>
            </w:pPr>
          </w:p>
        </w:tc>
        <w:tc>
          <w:tcPr>
            <w:tcW w:w="662" w:type="pct"/>
            <w:vAlign w:val="center"/>
          </w:tcPr>
          <w:p w14:paraId="7FFA6929">
            <w:pPr>
              <w:widowControl/>
              <w:jc w:val="center"/>
              <w:rPr>
                <w:rFonts w:hint="eastAsia" w:ascii="宋体" w:hAnsi="宋体" w:eastAsia="宋体"/>
                <w:sz w:val="22"/>
                <w:szCs w:val="22"/>
              </w:rPr>
            </w:pPr>
          </w:p>
        </w:tc>
      </w:tr>
      <w:tr w14:paraId="1F95CC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34" w:type="pct"/>
            <w:shd w:val="clear" w:color="auto" w:fill="auto"/>
            <w:noWrap/>
            <w:vAlign w:val="center"/>
          </w:tcPr>
          <w:p w14:paraId="460F486D">
            <w:pPr>
              <w:widowControl/>
              <w:jc w:val="center"/>
              <w:textAlignment w:val="center"/>
              <w:rPr>
                <w:rFonts w:ascii="宋体" w:hAnsi="宋体" w:eastAsia="宋体" w:cs="宋体"/>
                <w:bCs/>
                <w:sz w:val="22"/>
                <w:szCs w:val="22"/>
              </w:rPr>
            </w:pPr>
            <w:r>
              <w:rPr>
                <w:rFonts w:hint="eastAsia" w:ascii="宋体" w:hAnsi="宋体" w:eastAsia="宋体" w:cs="宋体"/>
                <w:bCs/>
                <w:sz w:val="22"/>
                <w:szCs w:val="22"/>
              </w:rPr>
              <w:t>1</w:t>
            </w:r>
            <w:r>
              <w:rPr>
                <w:rFonts w:ascii="宋体" w:hAnsi="宋体" w:eastAsia="宋体" w:cs="宋体"/>
                <w:bCs/>
                <w:sz w:val="22"/>
                <w:szCs w:val="22"/>
              </w:rPr>
              <w:t>3</w:t>
            </w:r>
          </w:p>
        </w:tc>
        <w:tc>
          <w:tcPr>
            <w:tcW w:w="1493" w:type="pct"/>
            <w:shd w:val="clear" w:color="auto" w:fill="auto"/>
            <w:vAlign w:val="center"/>
          </w:tcPr>
          <w:p w14:paraId="6912571A">
            <w:pPr>
              <w:jc w:val="center"/>
              <w:rPr>
                <w:rFonts w:ascii="宋体" w:hAnsi="宋体" w:eastAsia="宋体"/>
                <w:sz w:val="22"/>
                <w:szCs w:val="22"/>
              </w:rPr>
            </w:pPr>
            <w:r>
              <w:rPr>
                <w:rFonts w:hint="eastAsia" w:ascii="宋体" w:hAnsi="宋体" w:eastAsia="宋体"/>
                <w:sz w:val="22"/>
                <w:szCs w:val="22"/>
              </w:rPr>
              <w:t>运动地板</w:t>
            </w:r>
          </w:p>
        </w:tc>
        <w:tc>
          <w:tcPr>
            <w:tcW w:w="1087" w:type="pct"/>
            <w:shd w:val="clear" w:color="auto" w:fill="auto"/>
            <w:vAlign w:val="center"/>
          </w:tcPr>
          <w:p w14:paraId="155F23A7">
            <w:pPr>
              <w:jc w:val="center"/>
              <w:rPr>
                <w:rFonts w:ascii="宋体" w:hAnsi="宋体" w:eastAsia="宋体"/>
                <w:sz w:val="22"/>
                <w:szCs w:val="22"/>
              </w:rPr>
            </w:pPr>
            <w:r>
              <w:rPr>
                <w:rFonts w:hint="eastAsia" w:ascii="宋体" w:hAnsi="宋体" w:eastAsia="宋体"/>
                <w:sz w:val="22"/>
                <w:szCs w:val="22"/>
              </w:rPr>
              <w:t>平方</w:t>
            </w:r>
          </w:p>
        </w:tc>
        <w:tc>
          <w:tcPr>
            <w:tcW w:w="659" w:type="pct"/>
            <w:shd w:val="clear" w:color="auto" w:fill="auto"/>
            <w:vAlign w:val="center"/>
          </w:tcPr>
          <w:p w14:paraId="69BE64A9">
            <w:pPr>
              <w:jc w:val="center"/>
              <w:rPr>
                <w:rFonts w:ascii="宋体" w:hAnsi="宋体" w:eastAsia="宋体"/>
                <w:color w:val="000000"/>
                <w:sz w:val="22"/>
                <w:szCs w:val="22"/>
              </w:rPr>
            </w:pPr>
            <w:r>
              <w:rPr>
                <w:rFonts w:hint="eastAsia" w:ascii="宋体" w:hAnsi="宋体" w:eastAsia="宋体"/>
                <w:color w:val="000000"/>
                <w:sz w:val="22"/>
                <w:szCs w:val="22"/>
              </w:rPr>
              <w:t>145</w:t>
            </w:r>
          </w:p>
        </w:tc>
        <w:tc>
          <w:tcPr>
            <w:tcW w:w="662" w:type="pct"/>
            <w:vAlign w:val="center"/>
          </w:tcPr>
          <w:p w14:paraId="1C28BB58">
            <w:pPr>
              <w:widowControl/>
              <w:jc w:val="center"/>
              <w:rPr>
                <w:rFonts w:ascii="宋体" w:hAnsi="宋体" w:eastAsia="宋体"/>
                <w:sz w:val="22"/>
                <w:szCs w:val="22"/>
              </w:rPr>
            </w:pPr>
          </w:p>
        </w:tc>
        <w:tc>
          <w:tcPr>
            <w:tcW w:w="662" w:type="pct"/>
            <w:vAlign w:val="center"/>
          </w:tcPr>
          <w:p w14:paraId="1624D1F7">
            <w:pPr>
              <w:widowControl/>
              <w:jc w:val="center"/>
              <w:rPr>
                <w:rFonts w:hint="eastAsia" w:ascii="宋体" w:hAnsi="宋体" w:eastAsia="宋体"/>
                <w:sz w:val="22"/>
                <w:szCs w:val="22"/>
              </w:rPr>
            </w:pPr>
          </w:p>
        </w:tc>
      </w:tr>
      <w:tr w14:paraId="5E0E4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34" w:type="pct"/>
            <w:shd w:val="clear" w:color="auto" w:fill="auto"/>
            <w:noWrap/>
            <w:vAlign w:val="center"/>
          </w:tcPr>
          <w:p w14:paraId="7F009BA7">
            <w:pPr>
              <w:widowControl/>
              <w:jc w:val="center"/>
              <w:textAlignment w:val="center"/>
              <w:rPr>
                <w:rFonts w:ascii="宋体" w:hAnsi="宋体" w:eastAsia="宋体" w:cs="宋体"/>
                <w:bCs/>
                <w:sz w:val="22"/>
                <w:szCs w:val="22"/>
              </w:rPr>
            </w:pPr>
            <w:r>
              <w:rPr>
                <w:rFonts w:hint="eastAsia" w:ascii="宋体" w:hAnsi="宋体" w:eastAsia="宋体" w:cs="宋体"/>
                <w:bCs/>
                <w:sz w:val="22"/>
                <w:szCs w:val="22"/>
              </w:rPr>
              <w:t>1</w:t>
            </w:r>
            <w:r>
              <w:rPr>
                <w:rFonts w:ascii="宋体" w:hAnsi="宋体" w:eastAsia="宋体" w:cs="宋体"/>
                <w:bCs/>
                <w:sz w:val="22"/>
                <w:szCs w:val="22"/>
              </w:rPr>
              <w:t>4</w:t>
            </w:r>
          </w:p>
        </w:tc>
        <w:tc>
          <w:tcPr>
            <w:tcW w:w="1493" w:type="pct"/>
            <w:shd w:val="clear" w:color="auto" w:fill="auto"/>
            <w:vAlign w:val="center"/>
          </w:tcPr>
          <w:p w14:paraId="4D77F8F1">
            <w:pPr>
              <w:jc w:val="center"/>
              <w:rPr>
                <w:rFonts w:ascii="宋体" w:hAnsi="宋体" w:eastAsia="宋体"/>
                <w:sz w:val="22"/>
                <w:szCs w:val="22"/>
              </w:rPr>
            </w:pPr>
            <w:r>
              <w:rPr>
                <w:rFonts w:hint="eastAsia" w:ascii="宋体" w:hAnsi="宋体" w:eastAsia="宋体"/>
                <w:sz w:val="22"/>
                <w:szCs w:val="22"/>
              </w:rPr>
              <w:t>空气净化消毒仪</w:t>
            </w:r>
          </w:p>
        </w:tc>
        <w:tc>
          <w:tcPr>
            <w:tcW w:w="1087" w:type="pct"/>
            <w:shd w:val="clear" w:color="auto" w:fill="auto"/>
            <w:vAlign w:val="center"/>
          </w:tcPr>
          <w:p w14:paraId="1A54CE34">
            <w:pPr>
              <w:jc w:val="center"/>
              <w:rPr>
                <w:rFonts w:ascii="宋体" w:hAnsi="宋体" w:eastAsia="宋体"/>
                <w:sz w:val="22"/>
                <w:szCs w:val="22"/>
              </w:rPr>
            </w:pPr>
            <w:r>
              <w:rPr>
                <w:rFonts w:hint="eastAsia" w:ascii="宋体" w:hAnsi="宋体" w:eastAsia="宋体"/>
                <w:sz w:val="22"/>
                <w:szCs w:val="22"/>
              </w:rPr>
              <w:t>台</w:t>
            </w:r>
          </w:p>
        </w:tc>
        <w:tc>
          <w:tcPr>
            <w:tcW w:w="659" w:type="pct"/>
            <w:shd w:val="clear" w:color="auto" w:fill="auto"/>
            <w:vAlign w:val="center"/>
          </w:tcPr>
          <w:p w14:paraId="1E780E8B">
            <w:pPr>
              <w:jc w:val="center"/>
              <w:rPr>
                <w:rFonts w:ascii="宋体" w:hAnsi="宋体" w:eastAsia="宋体"/>
                <w:color w:val="000000"/>
                <w:sz w:val="22"/>
                <w:szCs w:val="22"/>
              </w:rPr>
            </w:pPr>
            <w:r>
              <w:rPr>
                <w:rFonts w:hint="eastAsia" w:ascii="宋体" w:hAnsi="宋体" w:eastAsia="宋体"/>
                <w:color w:val="000000"/>
                <w:sz w:val="22"/>
                <w:szCs w:val="22"/>
              </w:rPr>
              <w:t>2</w:t>
            </w:r>
          </w:p>
        </w:tc>
        <w:tc>
          <w:tcPr>
            <w:tcW w:w="662" w:type="pct"/>
            <w:vAlign w:val="center"/>
          </w:tcPr>
          <w:p w14:paraId="485ADB43">
            <w:pPr>
              <w:widowControl/>
              <w:jc w:val="center"/>
              <w:rPr>
                <w:rFonts w:ascii="宋体" w:hAnsi="宋体" w:eastAsia="宋体"/>
                <w:sz w:val="22"/>
                <w:szCs w:val="22"/>
              </w:rPr>
            </w:pPr>
          </w:p>
        </w:tc>
        <w:tc>
          <w:tcPr>
            <w:tcW w:w="662" w:type="pct"/>
            <w:vAlign w:val="center"/>
          </w:tcPr>
          <w:p w14:paraId="31083CFA">
            <w:pPr>
              <w:widowControl/>
              <w:jc w:val="center"/>
              <w:rPr>
                <w:rFonts w:hint="eastAsia" w:ascii="宋体" w:hAnsi="宋体" w:eastAsia="宋体"/>
                <w:sz w:val="22"/>
                <w:szCs w:val="22"/>
              </w:rPr>
            </w:pPr>
          </w:p>
        </w:tc>
      </w:tr>
      <w:tr w14:paraId="3F5025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34" w:type="pct"/>
            <w:shd w:val="clear" w:color="auto" w:fill="auto"/>
            <w:noWrap/>
            <w:vAlign w:val="center"/>
          </w:tcPr>
          <w:p w14:paraId="086A6229">
            <w:pPr>
              <w:widowControl/>
              <w:jc w:val="center"/>
              <w:textAlignment w:val="center"/>
              <w:rPr>
                <w:rFonts w:ascii="宋体" w:hAnsi="宋体" w:eastAsia="宋体" w:cs="宋体"/>
                <w:bCs/>
                <w:sz w:val="22"/>
                <w:szCs w:val="22"/>
              </w:rPr>
            </w:pPr>
            <w:r>
              <w:rPr>
                <w:rFonts w:hint="eastAsia" w:ascii="宋体" w:hAnsi="宋体" w:eastAsia="宋体" w:cs="宋体"/>
                <w:bCs/>
                <w:sz w:val="22"/>
                <w:szCs w:val="22"/>
              </w:rPr>
              <w:t>1</w:t>
            </w:r>
            <w:r>
              <w:rPr>
                <w:rFonts w:ascii="宋体" w:hAnsi="宋体" w:eastAsia="宋体" w:cs="宋体"/>
                <w:bCs/>
                <w:sz w:val="22"/>
                <w:szCs w:val="22"/>
              </w:rPr>
              <w:t>5</w:t>
            </w:r>
          </w:p>
        </w:tc>
        <w:tc>
          <w:tcPr>
            <w:tcW w:w="1493" w:type="pct"/>
            <w:shd w:val="clear" w:color="auto" w:fill="auto"/>
            <w:vAlign w:val="center"/>
          </w:tcPr>
          <w:p w14:paraId="14651170">
            <w:pPr>
              <w:rPr>
                <w:rFonts w:ascii="宋体" w:hAnsi="宋体" w:eastAsia="宋体"/>
                <w:sz w:val="22"/>
                <w:szCs w:val="22"/>
              </w:rPr>
            </w:pPr>
            <w:r>
              <w:rPr>
                <w:rFonts w:hint="eastAsia" w:ascii="宋体" w:hAnsi="宋体" w:eastAsia="宋体"/>
                <w:sz w:val="22"/>
                <w:szCs w:val="22"/>
              </w:rPr>
              <w:t>音乐北楼1</w:t>
            </w:r>
            <w:r>
              <w:rPr>
                <w:rFonts w:ascii="宋体" w:hAnsi="宋体" w:eastAsia="宋体"/>
                <w:sz w:val="22"/>
                <w:szCs w:val="22"/>
              </w:rPr>
              <w:t>04</w:t>
            </w:r>
            <w:r>
              <w:rPr>
                <w:rFonts w:hint="eastAsia" w:ascii="宋体" w:hAnsi="宋体" w:eastAsia="宋体"/>
                <w:sz w:val="22"/>
                <w:szCs w:val="22"/>
              </w:rPr>
              <w:t>、1</w:t>
            </w:r>
            <w:r>
              <w:rPr>
                <w:rFonts w:ascii="宋体" w:hAnsi="宋体" w:eastAsia="宋体"/>
                <w:sz w:val="22"/>
                <w:szCs w:val="22"/>
              </w:rPr>
              <w:t>05</w:t>
            </w:r>
            <w:r>
              <w:rPr>
                <w:rFonts w:hint="eastAsia" w:ascii="宋体" w:hAnsi="宋体" w:eastAsia="宋体"/>
                <w:sz w:val="22"/>
                <w:szCs w:val="22"/>
              </w:rPr>
              <w:t>改造</w:t>
            </w:r>
          </w:p>
          <w:p w14:paraId="5D11B4BB">
            <w:pPr>
              <w:jc w:val="center"/>
              <w:rPr>
                <w:rFonts w:ascii="宋体" w:hAnsi="宋体" w:eastAsia="宋体"/>
                <w:sz w:val="22"/>
                <w:szCs w:val="22"/>
              </w:rPr>
            </w:pPr>
            <w:r>
              <w:rPr>
                <w:rFonts w:hint="eastAsia" w:ascii="宋体" w:hAnsi="宋体" w:eastAsia="宋体"/>
                <w:sz w:val="22"/>
                <w:szCs w:val="22"/>
              </w:rPr>
              <w:t>（290平米）</w:t>
            </w:r>
          </w:p>
        </w:tc>
        <w:tc>
          <w:tcPr>
            <w:tcW w:w="1087" w:type="pct"/>
            <w:shd w:val="clear" w:color="auto" w:fill="auto"/>
            <w:vAlign w:val="center"/>
          </w:tcPr>
          <w:p w14:paraId="000D4E23">
            <w:pPr>
              <w:jc w:val="center"/>
              <w:rPr>
                <w:rFonts w:ascii="宋体" w:hAnsi="宋体" w:eastAsia="宋体"/>
                <w:sz w:val="22"/>
                <w:szCs w:val="22"/>
              </w:rPr>
            </w:pPr>
            <w:r>
              <w:rPr>
                <w:rFonts w:hint="eastAsia" w:ascii="宋体" w:hAnsi="宋体" w:eastAsia="宋体"/>
                <w:sz w:val="22"/>
                <w:szCs w:val="22"/>
              </w:rPr>
              <w:t>项</w:t>
            </w:r>
          </w:p>
        </w:tc>
        <w:tc>
          <w:tcPr>
            <w:tcW w:w="659" w:type="pct"/>
            <w:shd w:val="clear" w:color="auto" w:fill="auto"/>
            <w:vAlign w:val="center"/>
          </w:tcPr>
          <w:p w14:paraId="65DF25DF">
            <w:pPr>
              <w:jc w:val="center"/>
              <w:rPr>
                <w:rFonts w:ascii="宋体" w:hAnsi="宋体" w:eastAsia="宋体"/>
                <w:color w:val="000000"/>
                <w:sz w:val="22"/>
                <w:szCs w:val="22"/>
              </w:rPr>
            </w:pPr>
            <w:r>
              <w:rPr>
                <w:rFonts w:hint="eastAsia" w:ascii="宋体" w:hAnsi="宋体" w:eastAsia="宋体"/>
                <w:color w:val="000000"/>
                <w:sz w:val="22"/>
                <w:szCs w:val="22"/>
              </w:rPr>
              <w:t>1</w:t>
            </w:r>
          </w:p>
        </w:tc>
        <w:tc>
          <w:tcPr>
            <w:tcW w:w="662" w:type="pct"/>
            <w:vAlign w:val="center"/>
          </w:tcPr>
          <w:p w14:paraId="2B8B0B8B">
            <w:pPr>
              <w:widowControl/>
              <w:jc w:val="center"/>
              <w:rPr>
                <w:rFonts w:ascii="宋体" w:hAnsi="宋体" w:eastAsia="宋体"/>
                <w:sz w:val="22"/>
                <w:szCs w:val="22"/>
              </w:rPr>
            </w:pPr>
          </w:p>
        </w:tc>
        <w:tc>
          <w:tcPr>
            <w:tcW w:w="662" w:type="pct"/>
            <w:vAlign w:val="center"/>
          </w:tcPr>
          <w:p w14:paraId="0105A11A">
            <w:pPr>
              <w:widowControl/>
              <w:jc w:val="center"/>
              <w:rPr>
                <w:rFonts w:hint="eastAsia" w:ascii="宋体" w:hAnsi="宋体" w:eastAsia="宋体"/>
                <w:sz w:val="22"/>
                <w:szCs w:val="22"/>
                <w:lang w:val="en-US" w:eastAsia="zh-CN"/>
              </w:rPr>
            </w:pPr>
          </w:p>
        </w:tc>
      </w:tr>
      <w:tr w14:paraId="0DC24E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4337" w:type="pct"/>
            <w:gridSpan w:val="5"/>
            <w:shd w:val="clear" w:color="auto" w:fill="auto"/>
            <w:noWrap/>
            <w:vAlign w:val="center"/>
          </w:tcPr>
          <w:p w14:paraId="305870C2">
            <w:pPr>
              <w:widowControl/>
              <w:jc w:val="center"/>
              <w:textAlignment w:val="center"/>
              <w:rPr>
                <w:rFonts w:ascii="宋体" w:hAnsi="宋体" w:eastAsia="宋体" w:cs="宋体"/>
                <w:bCs/>
                <w:sz w:val="22"/>
                <w:szCs w:val="22"/>
              </w:rPr>
            </w:pPr>
            <w:r>
              <w:rPr>
                <w:rFonts w:hint="eastAsia" w:ascii="宋体" w:hAnsi="宋体" w:eastAsia="宋体" w:cs="宋体"/>
                <w:sz w:val="22"/>
                <w:szCs w:val="22"/>
              </w:rPr>
              <w:t>合计</w:t>
            </w:r>
          </w:p>
        </w:tc>
        <w:tc>
          <w:tcPr>
            <w:tcW w:w="662" w:type="pct"/>
            <w:shd w:val="clear" w:color="auto" w:fill="auto"/>
            <w:vAlign w:val="center"/>
          </w:tcPr>
          <w:p w14:paraId="40A1416E">
            <w:pPr>
              <w:widowControl/>
              <w:jc w:val="center"/>
              <w:textAlignment w:val="center"/>
              <w:rPr>
                <w:rFonts w:ascii="宋体" w:hAnsi="宋体" w:eastAsia="宋体" w:cs="宋体"/>
                <w:bCs/>
                <w:sz w:val="22"/>
                <w:szCs w:val="22"/>
                <w:lang w:bidi="ar"/>
              </w:rPr>
            </w:pPr>
          </w:p>
        </w:tc>
      </w:tr>
    </w:tbl>
    <w:p w14:paraId="7FFDD6E1">
      <w:pPr>
        <w:spacing w:line="360" w:lineRule="auto"/>
        <w:rPr>
          <w:rFonts w:ascii="宋体" w:cs="宋体"/>
          <w:color w:val="auto"/>
          <w:szCs w:val="21"/>
          <w:highlight w:val="none"/>
        </w:rPr>
      </w:pPr>
    </w:p>
    <w:p w14:paraId="5D52B7D0">
      <w:pPr>
        <w:spacing w:line="360" w:lineRule="auto"/>
        <w:rPr>
          <w:rFonts w:ascii="宋体" w:cs="宋体"/>
          <w:color w:val="auto"/>
          <w:szCs w:val="21"/>
          <w:highlight w:val="none"/>
        </w:rPr>
      </w:pPr>
    </w:p>
    <w:p w14:paraId="74E1AD5E">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4103EAB">
      <w:pPr>
        <w:spacing w:line="360" w:lineRule="auto"/>
        <w:ind w:firstLine="3600" w:firstLineChars="1500"/>
        <w:rPr>
          <w:rFonts w:hint="eastAsia" w:ascii="宋体" w:hAnsi="宋体" w:eastAsia="宋体"/>
          <w:color w:val="auto"/>
          <w:sz w:val="24"/>
          <w:highlight w:val="none"/>
        </w:rPr>
      </w:pPr>
    </w:p>
    <w:p w14:paraId="22646284">
      <w:pPr>
        <w:ind w:firstLine="3600" w:firstLineChars="1500"/>
        <w:rPr>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5F60396">
      <w:pPr>
        <w:pStyle w:val="8"/>
        <w:numPr>
          <w:ilvl w:val="0"/>
          <w:numId w:val="0"/>
        </w:numPr>
        <w:shd w:val="clear" w:color="auto" w:fill="FFFFFF"/>
        <w:tabs>
          <w:tab w:val="left" w:pos="2730"/>
        </w:tabs>
        <w:jc w:val="center"/>
        <w:rPr>
          <w:rFonts w:hint="eastAsia" w:cs="宋体"/>
          <w:color w:val="auto"/>
          <w:sz w:val="28"/>
          <w:szCs w:val="28"/>
          <w:highlight w:val="none"/>
          <w:lang w:val="en-US" w:eastAsia="zh-CN"/>
        </w:rPr>
        <w:sectPr>
          <w:footerReference r:id="rId8" w:type="default"/>
          <w:pgSz w:w="11906" w:h="16838"/>
          <w:pgMar w:top="1418" w:right="1418" w:bottom="1276" w:left="1418" w:header="680" w:footer="680" w:gutter="0"/>
          <w:pgNumType w:fmt="decimal"/>
          <w:cols w:space="720" w:num="1"/>
          <w:docGrid w:type="lines" w:linePitch="312" w:charSpace="0"/>
        </w:sectPr>
      </w:pPr>
    </w:p>
    <w:bookmarkEnd w:id="239"/>
    <w:bookmarkEnd w:id="240"/>
    <w:p w14:paraId="032A22B4">
      <w:pPr>
        <w:pStyle w:val="8"/>
        <w:numPr>
          <w:ilvl w:val="0"/>
          <w:numId w:val="0"/>
        </w:numPr>
        <w:shd w:val="clear" w:color="auto" w:fill="FFFFFF"/>
        <w:tabs>
          <w:tab w:val="left" w:pos="2730"/>
        </w:tabs>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三、</w:t>
      </w:r>
      <w:r>
        <w:rPr>
          <w:rFonts w:hint="eastAsia" w:cs="宋体"/>
          <w:strike w:val="0"/>
          <w:dstrike w:val="0"/>
          <w:color w:val="auto"/>
          <w:sz w:val="28"/>
          <w:szCs w:val="28"/>
          <w:highlight w:val="none"/>
          <w:lang w:val="en-US" w:eastAsia="zh-CN"/>
        </w:rPr>
        <w:t>谈判</w:t>
      </w:r>
      <w:r>
        <w:rPr>
          <w:rFonts w:hint="eastAsia" w:cs="宋体"/>
          <w:color w:val="auto"/>
          <w:sz w:val="28"/>
          <w:szCs w:val="28"/>
          <w:highlight w:val="none"/>
          <w:lang w:val="en-US" w:eastAsia="zh-CN"/>
        </w:rPr>
        <w:t>响应表</w:t>
      </w:r>
    </w:p>
    <w:bookmarkEnd w:id="241"/>
    <w:p w14:paraId="1CD7AC60">
      <w:pPr>
        <w:spacing w:line="360" w:lineRule="auto"/>
        <w:ind w:firstLine="210" w:firstLineChars="100"/>
        <w:rPr>
          <w:rFonts w:ascii="宋体" w:hAnsi="宋体"/>
          <w:color w:val="auto"/>
          <w:szCs w:val="21"/>
          <w:highlight w:val="none"/>
        </w:rPr>
      </w:pPr>
      <w:bookmarkStart w:id="243" w:name="_Toc54941345"/>
      <w:bookmarkStart w:id="244" w:name="_Toc15038"/>
      <w:bookmarkStart w:id="245" w:name="_Toc476584436"/>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tbl>
      <w:tblPr>
        <w:tblStyle w:val="39"/>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14:paraId="75A84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14:paraId="03D157F7">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序号</w:t>
            </w:r>
          </w:p>
        </w:tc>
        <w:tc>
          <w:tcPr>
            <w:tcW w:w="1927" w:type="dxa"/>
            <w:vAlign w:val="center"/>
          </w:tcPr>
          <w:p w14:paraId="459A9453">
            <w:pPr>
              <w:pStyle w:val="22"/>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14:paraId="6AC7C5D7">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c>
          <w:tcPr>
            <w:tcW w:w="2347" w:type="dxa"/>
            <w:vAlign w:val="center"/>
          </w:tcPr>
          <w:p w14:paraId="78295A5D">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14:paraId="2D1FD4A6">
            <w:pPr>
              <w:pStyle w:val="22"/>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14:paraId="6397A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1627D475">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14:paraId="75EC81EB">
            <w:pPr>
              <w:jc w:val="center"/>
              <w:rPr>
                <w:rFonts w:ascii="宋体" w:hAnsi="宋体" w:eastAsia="宋体" w:cs="Times New Roman"/>
                <w:color w:val="auto"/>
                <w:kern w:val="2"/>
                <w:sz w:val="24"/>
                <w:highlight w:val="none"/>
                <w:lang w:val="en-US" w:eastAsia="zh-CN" w:bidi="ar-SA"/>
              </w:rPr>
            </w:pPr>
            <w:r>
              <w:rPr>
                <w:rFonts w:asciiTheme="minorEastAsia" w:hAnsiTheme="minorEastAsia" w:eastAsiaTheme="minorEastAsia"/>
                <w:color w:val="auto"/>
                <w:sz w:val="24"/>
                <w:highlight w:val="none"/>
              </w:rPr>
              <w:t>付款方式</w:t>
            </w:r>
          </w:p>
        </w:tc>
        <w:tc>
          <w:tcPr>
            <w:tcW w:w="2215" w:type="dxa"/>
            <w:vAlign w:val="center"/>
          </w:tcPr>
          <w:p w14:paraId="00733848">
            <w:pPr>
              <w:jc w:val="center"/>
              <w:rPr>
                <w:rFonts w:asciiTheme="minorEastAsia" w:hAnsiTheme="minorEastAsia" w:eastAsiaTheme="minorEastAsia"/>
                <w:color w:val="auto"/>
                <w:sz w:val="24"/>
                <w:highlight w:val="none"/>
              </w:rPr>
            </w:pPr>
          </w:p>
        </w:tc>
        <w:tc>
          <w:tcPr>
            <w:tcW w:w="2347" w:type="dxa"/>
            <w:vAlign w:val="center"/>
          </w:tcPr>
          <w:p w14:paraId="3BB8FC13">
            <w:pPr>
              <w:jc w:val="center"/>
              <w:rPr>
                <w:rFonts w:asciiTheme="minorEastAsia" w:hAnsiTheme="minorEastAsia" w:eastAsiaTheme="minorEastAsia"/>
                <w:color w:val="auto"/>
                <w:sz w:val="24"/>
                <w:highlight w:val="none"/>
              </w:rPr>
            </w:pPr>
          </w:p>
        </w:tc>
        <w:tc>
          <w:tcPr>
            <w:tcW w:w="1235" w:type="dxa"/>
            <w:vAlign w:val="center"/>
          </w:tcPr>
          <w:p w14:paraId="09B71729">
            <w:pPr>
              <w:jc w:val="center"/>
              <w:rPr>
                <w:rFonts w:asciiTheme="minorEastAsia" w:hAnsiTheme="minorEastAsia" w:eastAsiaTheme="minorEastAsia"/>
                <w:color w:val="auto"/>
                <w:sz w:val="24"/>
                <w:highlight w:val="none"/>
              </w:rPr>
            </w:pPr>
          </w:p>
        </w:tc>
      </w:tr>
      <w:tr w14:paraId="0EF51A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44D01422">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14:paraId="0C6728EE">
            <w:pPr>
              <w:jc w:val="center"/>
              <w:rPr>
                <w:rFonts w:ascii="宋体" w:hAnsi="宋体" w:eastAsia="宋体" w:cs="Times New Roman"/>
                <w:color w:val="auto"/>
                <w:kern w:val="2"/>
                <w:sz w:val="24"/>
                <w:highlight w:val="none"/>
                <w:lang w:val="en-US" w:eastAsia="zh-CN" w:bidi="ar-SA"/>
              </w:rPr>
            </w:pPr>
            <w:r>
              <w:rPr>
                <w:rFonts w:hint="eastAsia" w:ascii="宋体" w:hAnsi="宋体"/>
                <w:color w:val="auto"/>
                <w:sz w:val="24"/>
                <w:highlight w:val="none"/>
              </w:rPr>
              <w:t>供货及安装地点</w:t>
            </w:r>
          </w:p>
        </w:tc>
        <w:tc>
          <w:tcPr>
            <w:tcW w:w="2215" w:type="dxa"/>
            <w:vAlign w:val="center"/>
          </w:tcPr>
          <w:p w14:paraId="7E5000BB">
            <w:pPr>
              <w:jc w:val="center"/>
              <w:rPr>
                <w:rFonts w:asciiTheme="minorEastAsia" w:hAnsiTheme="minorEastAsia" w:eastAsiaTheme="minorEastAsia"/>
                <w:color w:val="auto"/>
                <w:sz w:val="24"/>
                <w:highlight w:val="none"/>
              </w:rPr>
            </w:pPr>
          </w:p>
        </w:tc>
        <w:tc>
          <w:tcPr>
            <w:tcW w:w="2347" w:type="dxa"/>
            <w:vAlign w:val="center"/>
          </w:tcPr>
          <w:p w14:paraId="5D2C031B">
            <w:pPr>
              <w:jc w:val="center"/>
              <w:rPr>
                <w:rFonts w:asciiTheme="minorEastAsia" w:hAnsiTheme="minorEastAsia" w:eastAsiaTheme="minorEastAsia"/>
                <w:color w:val="auto"/>
                <w:sz w:val="24"/>
                <w:highlight w:val="none"/>
              </w:rPr>
            </w:pPr>
          </w:p>
        </w:tc>
        <w:tc>
          <w:tcPr>
            <w:tcW w:w="1235" w:type="dxa"/>
            <w:vAlign w:val="center"/>
          </w:tcPr>
          <w:p w14:paraId="73F7B7BA">
            <w:pPr>
              <w:jc w:val="center"/>
              <w:rPr>
                <w:rFonts w:asciiTheme="minorEastAsia" w:hAnsiTheme="minorEastAsia" w:eastAsiaTheme="minorEastAsia"/>
                <w:color w:val="auto"/>
                <w:sz w:val="24"/>
                <w:highlight w:val="none"/>
              </w:rPr>
            </w:pPr>
          </w:p>
        </w:tc>
      </w:tr>
      <w:tr w14:paraId="6EC7E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63EF9381">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14:paraId="14B3CAB5">
            <w:pPr>
              <w:jc w:val="center"/>
              <w:rPr>
                <w:rFonts w:ascii="宋体" w:hAnsi="宋体" w:eastAsia="宋体" w:cs="Times New Roman"/>
                <w:color w:val="auto"/>
                <w:kern w:val="2"/>
                <w:sz w:val="24"/>
                <w:highlight w:val="none"/>
                <w:lang w:val="en-US" w:eastAsia="zh-CN" w:bidi="ar-SA"/>
              </w:rPr>
            </w:pPr>
            <w:r>
              <w:rPr>
                <w:rFonts w:hint="eastAsia" w:ascii="宋体" w:hAnsi="宋体"/>
                <w:color w:val="auto"/>
                <w:sz w:val="24"/>
                <w:highlight w:val="none"/>
              </w:rPr>
              <w:t>供货及安装期限</w:t>
            </w:r>
          </w:p>
        </w:tc>
        <w:tc>
          <w:tcPr>
            <w:tcW w:w="2215" w:type="dxa"/>
            <w:vAlign w:val="center"/>
          </w:tcPr>
          <w:p w14:paraId="0CAE2A29">
            <w:pPr>
              <w:jc w:val="center"/>
              <w:rPr>
                <w:rFonts w:asciiTheme="minorEastAsia" w:hAnsiTheme="minorEastAsia" w:eastAsiaTheme="minorEastAsia"/>
                <w:color w:val="auto"/>
                <w:sz w:val="24"/>
                <w:highlight w:val="none"/>
              </w:rPr>
            </w:pPr>
          </w:p>
        </w:tc>
        <w:tc>
          <w:tcPr>
            <w:tcW w:w="2347" w:type="dxa"/>
            <w:vAlign w:val="center"/>
          </w:tcPr>
          <w:p w14:paraId="46BED33D">
            <w:pPr>
              <w:pStyle w:val="124"/>
              <w:jc w:val="center"/>
              <w:rPr>
                <w:rFonts w:asciiTheme="minorEastAsia" w:hAnsiTheme="minorEastAsia" w:eastAsiaTheme="minorEastAsia"/>
                <w:color w:val="auto"/>
                <w:highlight w:val="none"/>
              </w:rPr>
            </w:pPr>
          </w:p>
        </w:tc>
        <w:tc>
          <w:tcPr>
            <w:tcW w:w="1235" w:type="dxa"/>
            <w:vAlign w:val="center"/>
          </w:tcPr>
          <w:p w14:paraId="4042ACD7">
            <w:pPr>
              <w:jc w:val="center"/>
              <w:rPr>
                <w:rFonts w:asciiTheme="minorEastAsia" w:hAnsiTheme="minorEastAsia" w:eastAsiaTheme="minorEastAsia"/>
                <w:color w:val="auto"/>
                <w:sz w:val="24"/>
                <w:highlight w:val="none"/>
              </w:rPr>
            </w:pPr>
          </w:p>
        </w:tc>
      </w:tr>
      <w:tr w14:paraId="27983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36CEACD9">
            <w:pPr>
              <w:jc w:val="center"/>
              <w:rPr>
                <w:rFonts w:hint="default" w:asciiTheme="minorEastAsia" w:hAnsiTheme="minorEastAsia" w:eastAsiaTheme="minorEastAsia"/>
                <w:color w:val="auto"/>
                <w:sz w:val="24"/>
                <w:highlight w:val="none"/>
                <w:lang w:val="en-US"/>
              </w:rPr>
            </w:pPr>
            <w:r>
              <w:rPr>
                <w:rFonts w:hint="default" w:asciiTheme="minorEastAsia" w:hAnsiTheme="minorEastAsia" w:eastAsiaTheme="minorEastAsia"/>
                <w:color w:val="auto"/>
                <w:sz w:val="24"/>
                <w:highlight w:val="none"/>
                <w:lang w:val="en-US"/>
              </w:rPr>
              <w:t>4</w:t>
            </w:r>
          </w:p>
        </w:tc>
        <w:tc>
          <w:tcPr>
            <w:tcW w:w="1927" w:type="dxa"/>
            <w:vAlign w:val="center"/>
          </w:tcPr>
          <w:p w14:paraId="068A28CB">
            <w:pPr>
              <w:jc w:val="center"/>
              <w:rPr>
                <w:rFonts w:hint="eastAsia" w:ascii="宋体" w:hAnsi="宋体" w:eastAsia="宋体" w:cs="Times New Roman"/>
                <w:color w:val="auto"/>
                <w:kern w:val="2"/>
                <w:sz w:val="24"/>
                <w:highlight w:val="none"/>
                <w:lang w:val="en-US" w:eastAsia="zh-CN" w:bidi="ar-SA"/>
              </w:rPr>
            </w:pPr>
            <w:r>
              <w:rPr>
                <w:rFonts w:hint="eastAsia" w:ascii="宋体" w:hAnsi="宋体"/>
                <w:color w:val="auto"/>
                <w:sz w:val="24"/>
                <w:highlight w:val="none"/>
                <w:lang w:val="en-US" w:eastAsia="zh-CN"/>
              </w:rPr>
              <w:t>免费质保期</w:t>
            </w:r>
          </w:p>
        </w:tc>
        <w:tc>
          <w:tcPr>
            <w:tcW w:w="2215" w:type="dxa"/>
            <w:vAlign w:val="center"/>
          </w:tcPr>
          <w:p w14:paraId="509A9942">
            <w:pPr>
              <w:jc w:val="center"/>
              <w:rPr>
                <w:rFonts w:asciiTheme="minorEastAsia" w:hAnsiTheme="minorEastAsia" w:eastAsiaTheme="minorEastAsia"/>
                <w:color w:val="auto"/>
                <w:sz w:val="24"/>
                <w:highlight w:val="none"/>
              </w:rPr>
            </w:pPr>
          </w:p>
        </w:tc>
        <w:tc>
          <w:tcPr>
            <w:tcW w:w="2347" w:type="dxa"/>
            <w:vAlign w:val="center"/>
          </w:tcPr>
          <w:p w14:paraId="333AAC30">
            <w:pPr>
              <w:pStyle w:val="124"/>
              <w:jc w:val="center"/>
              <w:rPr>
                <w:rFonts w:asciiTheme="minorEastAsia" w:hAnsiTheme="minorEastAsia" w:eastAsiaTheme="minorEastAsia"/>
                <w:color w:val="auto"/>
                <w:highlight w:val="none"/>
              </w:rPr>
            </w:pPr>
          </w:p>
        </w:tc>
        <w:tc>
          <w:tcPr>
            <w:tcW w:w="1235" w:type="dxa"/>
            <w:vAlign w:val="center"/>
          </w:tcPr>
          <w:p w14:paraId="35AE2295">
            <w:pPr>
              <w:jc w:val="center"/>
              <w:rPr>
                <w:rFonts w:asciiTheme="minorEastAsia" w:hAnsiTheme="minorEastAsia" w:eastAsiaTheme="minorEastAsia"/>
                <w:color w:val="auto"/>
                <w:sz w:val="24"/>
                <w:highlight w:val="none"/>
              </w:rPr>
            </w:pPr>
          </w:p>
        </w:tc>
      </w:tr>
      <w:tr w14:paraId="54E0C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4A1D0B4A">
            <w:pPr>
              <w:jc w:val="center"/>
              <w:rPr>
                <w:rFonts w:hint="default" w:asciiTheme="minorEastAsia" w:hAnsiTheme="minorEastAsia" w:eastAsiaTheme="minorEastAsia"/>
                <w:color w:val="auto"/>
                <w:sz w:val="24"/>
                <w:highlight w:val="none"/>
                <w:lang w:val="en-US"/>
              </w:rPr>
            </w:pPr>
            <w:r>
              <w:rPr>
                <w:rFonts w:hint="default" w:asciiTheme="minorEastAsia" w:hAnsiTheme="minorEastAsia" w:eastAsiaTheme="minorEastAsia"/>
                <w:color w:val="auto"/>
                <w:sz w:val="24"/>
                <w:highlight w:val="none"/>
                <w:lang w:val="en-US"/>
              </w:rPr>
              <w:t>5</w:t>
            </w:r>
          </w:p>
        </w:tc>
        <w:tc>
          <w:tcPr>
            <w:tcW w:w="1927" w:type="dxa"/>
            <w:vAlign w:val="center"/>
          </w:tcPr>
          <w:p w14:paraId="246CD276">
            <w:pPr>
              <w:jc w:val="center"/>
              <w:rPr>
                <w:rFonts w:hint="eastAsia" w:ascii="宋体" w:hAnsi="宋体" w:eastAsia="宋体" w:cs="Times New Roman"/>
                <w:color w:val="auto"/>
                <w:kern w:val="2"/>
                <w:sz w:val="24"/>
                <w:highlight w:val="none"/>
                <w:lang w:val="en-US" w:eastAsia="zh-CN" w:bidi="ar-SA"/>
              </w:rPr>
            </w:pPr>
            <w:r>
              <w:rPr>
                <w:rFonts w:hint="eastAsia" w:ascii="宋体" w:hAnsi="宋体"/>
                <w:color w:val="auto"/>
                <w:sz w:val="24"/>
                <w:highlight w:val="none"/>
                <w:lang w:val="en-US" w:eastAsia="zh-CN"/>
              </w:rPr>
              <w:t>商品包装要求</w:t>
            </w:r>
          </w:p>
        </w:tc>
        <w:tc>
          <w:tcPr>
            <w:tcW w:w="2215" w:type="dxa"/>
            <w:vAlign w:val="center"/>
          </w:tcPr>
          <w:p w14:paraId="5B5FBC7B">
            <w:pPr>
              <w:jc w:val="center"/>
              <w:rPr>
                <w:rFonts w:asciiTheme="minorEastAsia" w:hAnsiTheme="minorEastAsia" w:eastAsiaTheme="minorEastAsia"/>
                <w:color w:val="auto"/>
                <w:sz w:val="24"/>
                <w:highlight w:val="none"/>
              </w:rPr>
            </w:pPr>
          </w:p>
        </w:tc>
        <w:tc>
          <w:tcPr>
            <w:tcW w:w="2347" w:type="dxa"/>
            <w:vAlign w:val="center"/>
          </w:tcPr>
          <w:p w14:paraId="76B06A39">
            <w:pPr>
              <w:pStyle w:val="124"/>
              <w:jc w:val="center"/>
              <w:rPr>
                <w:rFonts w:asciiTheme="minorEastAsia" w:hAnsiTheme="minorEastAsia" w:eastAsiaTheme="minorEastAsia"/>
                <w:color w:val="auto"/>
                <w:highlight w:val="none"/>
              </w:rPr>
            </w:pPr>
          </w:p>
        </w:tc>
        <w:tc>
          <w:tcPr>
            <w:tcW w:w="1235" w:type="dxa"/>
            <w:vAlign w:val="center"/>
          </w:tcPr>
          <w:p w14:paraId="3A1A79F2">
            <w:pPr>
              <w:jc w:val="center"/>
              <w:rPr>
                <w:rFonts w:asciiTheme="minorEastAsia" w:hAnsiTheme="minorEastAsia" w:eastAsiaTheme="minorEastAsia"/>
                <w:color w:val="auto"/>
                <w:sz w:val="24"/>
                <w:highlight w:val="none"/>
              </w:rPr>
            </w:pPr>
          </w:p>
        </w:tc>
      </w:tr>
    </w:tbl>
    <w:p w14:paraId="097C4115">
      <w:pPr>
        <w:spacing w:line="360" w:lineRule="auto"/>
        <w:rPr>
          <w:rFonts w:ascii="宋体" w:hAnsi="宋体"/>
          <w:color w:val="auto"/>
          <w:szCs w:val="21"/>
          <w:highlight w:val="none"/>
        </w:rPr>
      </w:pPr>
      <w:r>
        <w:rPr>
          <w:rFonts w:hint="eastAsia" w:ascii="宋体" w:hAnsi="宋体"/>
          <w:color w:val="auto"/>
          <w:szCs w:val="21"/>
          <w:highlight w:val="none"/>
          <w:lang w:val="en-US" w:eastAsia="zh-CN"/>
        </w:rPr>
        <w:t>3.2</w:t>
      </w:r>
      <w:r>
        <w:rPr>
          <w:rFonts w:hint="eastAsia" w:ascii="宋体" w:hAnsi="宋体"/>
          <w:color w:val="auto"/>
          <w:szCs w:val="21"/>
          <w:highlight w:val="none"/>
        </w:rPr>
        <w:t>技术要求响应表：</w:t>
      </w:r>
    </w:p>
    <w:tbl>
      <w:tblPr>
        <w:tblStyle w:val="39"/>
        <w:tblpPr w:leftFromText="180" w:rightFromText="180" w:vertAnchor="text" w:horzAnchor="page" w:tblpX="1762" w:tblpY="62"/>
        <w:tblOverlap w:val="never"/>
        <w:tblW w:w="86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4"/>
        <w:gridCol w:w="1243"/>
        <w:gridCol w:w="1770"/>
        <w:gridCol w:w="1843"/>
        <w:gridCol w:w="1603"/>
        <w:gridCol w:w="1293"/>
      </w:tblGrid>
      <w:tr w14:paraId="3EB18F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trPr>
        <w:tc>
          <w:tcPr>
            <w:tcW w:w="874" w:type="dxa"/>
            <w:vAlign w:val="center"/>
          </w:tcPr>
          <w:p w14:paraId="5E161968">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1243" w:type="dxa"/>
            <w:vAlign w:val="center"/>
          </w:tcPr>
          <w:p w14:paraId="021744AF">
            <w:pPr>
              <w:spacing w:line="360" w:lineRule="auto"/>
              <w:jc w:val="center"/>
              <w:rPr>
                <w:rFonts w:ascii="宋体" w:hAnsi="宋体"/>
                <w:color w:val="auto"/>
                <w:szCs w:val="21"/>
                <w:highlight w:val="none"/>
              </w:rPr>
            </w:pPr>
            <w:r>
              <w:rPr>
                <w:rFonts w:hint="eastAsia" w:ascii="宋体" w:hAnsi="宋体"/>
                <w:color w:val="auto"/>
                <w:szCs w:val="21"/>
                <w:highlight w:val="none"/>
              </w:rPr>
              <w:t>货物名称</w:t>
            </w:r>
          </w:p>
        </w:tc>
        <w:tc>
          <w:tcPr>
            <w:tcW w:w="1770" w:type="dxa"/>
            <w:vAlign w:val="center"/>
          </w:tcPr>
          <w:p w14:paraId="27EE8359">
            <w:pPr>
              <w:spacing w:line="360" w:lineRule="auto"/>
              <w:jc w:val="center"/>
              <w:rPr>
                <w:rFonts w:ascii="宋体" w:hAnsi="宋体"/>
                <w:color w:val="auto"/>
                <w:szCs w:val="21"/>
                <w:highlight w:val="none"/>
              </w:rPr>
            </w:pPr>
            <w:r>
              <w:rPr>
                <w:rFonts w:hint="eastAsia" w:ascii="宋体" w:hAnsi="宋体"/>
                <w:color w:val="auto"/>
                <w:szCs w:val="21"/>
                <w:highlight w:val="none"/>
              </w:rPr>
              <w:t>生产厂家、品牌、型号</w:t>
            </w:r>
          </w:p>
        </w:tc>
        <w:tc>
          <w:tcPr>
            <w:tcW w:w="1843" w:type="dxa"/>
            <w:vAlign w:val="center"/>
          </w:tcPr>
          <w:p w14:paraId="13E42959">
            <w:pPr>
              <w:spacing w:line="360" w:lineRule="auto"/>
              <w:jc w:val="center"/>
              <w:rPr>
                <w:rFonts w:ascii="宋体" w:hAnsi="宋体"/>
                <w:color w:val="auto"/>
                <w:szCs w:val="21"/>
                <w:highlight w:val="none"/>
              </w:rPr>
            </w:pPr>
            <w:r>
              <w:rPr>
                <w:rFonts w:hint="eastAsia" w:ascii="宋体" w:hAnsi="宋体"/>
                <w:color w:val="auto"/>
                <w:szCs w:val="21"/>
                <w:highlight w:val="none"/>
                <w:lang w:val="en-US" w:eastAsia="zh-CN"/>
              </w:rPr>
              <w:t>响应</w:t>
            </w:r>
            <w:r>
              <w:rPr>
                <w:rFonts w:hint="eastAsia" w:ascii="宋体" w:hAnsi="宋体"/>
                <w:color w:val="auto"/>
                <w:szCs w:val="21"/>
                <w:highlight w:val="none"/>
              </w:rPr>
              <w:t>技术参数</w:t>
            </w:r>
          </w:p>
        </w:tc>
        <w:tc>
          <w:tcPr>
            <w:tcW w:w="1603" w:type="dxa"/>
            <w:vAlign w:val="center"/>
          </w:tcPr>
          <w:p w14:paraId="4ED2AE7E">
            <w:pPr>
              <w:spacing w:line="360" w:lineRule="auto"/>
              <w:jc w:val="center"/>
              <w:rPr>
                <w:rFonts w:ascii="宋体" w:hAnsi="宋体"/>
                <w:color w:val="auto"/>
                <w:szCs w:val="21"/>
                <w:highlight w:val="none"/>
              </w:rPr>
            </w:pPr>
            <w:r>
              <w:rPr>
                <w:rFonts w:hint="eastAsia" w:ascii="宋体" w:hAnsi="宋体"/>
                <w:color w:val="auto"/>
                <w:szCs w:val="21"/>
                <w:highlight w:val="none"/>
              </w:rPr>
              <w:t>响应情况</w:t>
            </w:r>
          </w:p>
        </w:tc>
        <w:tc>
          <w:tcPr>
            <w:tcW w:w="1293" w:type="dxa"/>
            <w:vAlign w:val="center"/>
          </w:tcPr>
          <w:p w14:paraId="141CA92D">
            <w:pPr>
              <w:spacing w:line="360" w:lineRule="auto"/>
              <w:jc w:val="center"/>
              <w:rPr>
                <w:rFonts w:ascii="宋体" w:hAnsi="宋体"/>
                <w:b/>
                <w:color w:val="auto"/>
                <w:szCs w:val="21"/>
                <w:highlight w:val="none"/>
              </w:rPr>
            </w:pPr>
            <w:r>
              <w:rPr>
                <w:rFonts w:hint="eastAsia" w:ascii="宋体" w:hAnsi="宋体"/>
                <w:b/>
                <w:color w:val="auto"/>
                <w:szCs w:val="21"/>
                <w:highlight w:val="none"/>
              </w:rPr>
              <w:t>原产地</w:t>
            </w:r>
          </w:p>
        </w:tc>
      </w:tr>
      <w:tr w14:paraId="70898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259C3CC0">
            <w:pPr>
              <w:spacing w:line="360" w:lineRule="auto"/>
              <w:jc w:val="center"/>
              <w:rPr>
                <w:rFonts w:ascii="宋体" w:hAnsi="宋体"/>
                <w:color w:val="auto"/>
                <w:spacing w:val="-4"/>
                <w:szCs w:val="21"/>
                <w:highlight w:val="none"/>
              </w:rPr>
            </w:pPr>
          </w:p>
        </w:tc>
        <w:tc>
          <w:tcPr>
            <w:tcW w:w="1243" w:type="dxa"/>
            <w:vAlign w:val="center"/>
          </w:tcPr>
          <w:p w14:paraId="4330ECD9">
            <w:pPr>
              <w:spacing w:line="360" w:lineRule="auto"/>
              <w:jc w:val="center"/>
              <w:rPr>
                <w:rFonts w:ascii="宋体" w:hAnsi="宋体"/>
                <w:color w:val="auto"/>
                <w:szCs w:val="21"/>
                <w:highlight w:val="none"/>
              </w:rPr>
            </w:pPr>
          </w:p>
        </w:tc>
        <w:tc>
          <w:tcPr>
            <w:tcW w:w="1770" w:type="dxa"/>
          </w:tcPr>
          <w:p w14:paraId="0AB4EF9F">
            <w:pPr>
              <w:spacing w:line="360" w:lineRule="auto"/>
              <w:jc w:val="center"/>
              <w:rPr>
                <w:rFonts w:ascii="宋体" w:hAnsi="宋体"/>
                <w:b/>
                <w:color w:val="auto"/>
                <w:szCs w:val="21"/>
                <w:highlight w:val="none"/>
              </w:rPr>
            </w:pPr>
          </w:p>
        </w:tc>
        <w:tc>
          <w:tcPr>
            <w:tcW w:w="1843" w:type="dxa"/>
            <w:vAlign w:val="center"/>
          </w:tcPr>
          <w:p w14:paraId="43482109">
            <w:pPr>
              <w:spacing w:line="360" w:lineRule="auto"/>
              <w:jc w:val="center"/>
              <w:rPr>
                <w:rFonts w:ascii="宋体" w:hAnsi="宋体"/>
                <w:b/>
                <w:color w:val="auto"/>
                <w:szCs w:val="21"/>
                <w:highlight w:val="none"/>
              </w:rPr>
            </w:pPr>
          </w:p>
        </w:tc>
        <w:tc>
          <w:tcPr>
            <w:tcW w:w="1603" w:type="dxa"/>
            <w:vAlign w:val="center"/>
          </w:tcPr>
          <w:p w14:paraId="2CD2E8F2">
            <w:pPr>
              <w:spacing w:line="360" w:lineRule="auto"/>
              <w:jc w:val="center"/>
              <w:rPr>
                <w:rFonts w:ascii="宋体" w:hAnsi="宋体"/>
                <w:b/>
                <w:color w:val="auto"/>
                <w:szCs w:val="21"/>
                <w:highlight w:val="none"/>
              </w:rPr>
            </w:pPr>
          </w:p>
        </w:tc>
        <w:tc>
          <w:tcPr>
            <w:tcW w:w="1293" w:type="dxa"/>
            <w:vAlign w:val="center"/>
          </w:tcPr>
          <w:p w14:paraId="7E6D080D">
            <w:pPr>
              <w:spacing w:line="360" w:lineRule="auto"/>
              <w:jc w:val="center"/>
              <w:rPr>
                <w:rFonts w:ascii="宋体" w:hAnsi="宋体"/>
                <w:b/>
                <w:color w:val="auto"/>
                <w:szCs w:val="21"/>
                <w:highlight w:val="none"/>
              </w:rPr>
            </w:pPr>
          </w:p>
        </w:tc>
      </w:tr>
      <w:tr w14:paraId="6C317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097B0191">
            <w:pPr>
              <w:spacing w:line="360" w:lineRule="auto"/>
              <w:jc w:val="center"/>
              <w:rPr>
                <w:rFonts w:ascii="宋体" w:hAnsi="宋体"/>
                <w:color w:val="auto"/>
                <w:spacing w:val="-4"/>
                <w:szCs w:val="21"/>
                <w:highlight w:val="none"/>
              </w:rPr>
            </w:pPr>
          </w:p>
        </w:tc>
        <w:tc>
          <w:tcPr>
            <w:tcW w:w="1243" w:type="dxa"/>
            <w:vAlign w:val="center"/>
          </w:tcPr>
          <w:p w14:paraId="39908312">
            <w:pPr>
              <w:spacing w:line="360" w:lineRule="auto"/>
              <w:jc w:val="center"/>
              <w:rPr>
                <w:rFonts w:ascii="宋体" w:hAnsi="宋体"/>
                <w:color w:val="auto"/>
                <w:szCs w:val="21"/>
                <w:highlight w:val="none"/>
              </w:rPr>
            </w:pPr>
          </w:p>
        </w:tc>
        <w:tc>
          <w:tcPr>
            <w:tcW w:w="1770" w:type="dxa"/>
          </w:tcPr>
          <w:p w14:paraId="4BA1F4A4">
            <w:pPr>
              <w:spacing w:line="360" w:lineRule="auto"/>
              <w:jc w:val="center"/>
              <w:rPr>
                <w:rFonts w:ascii="宋体" w:hAnsi="宋体"/>
                <w:b/>
                <w:color w:val="auto"/>
                <w:szCs w:val="21"/>
                <w:highlight w:val="none"/>
              </w:rPr>
            </w:pPr>
          </w:p>
        </w:tc>
        <w:tc>
          <w:tcPr>
            <w:tcW w:w="1843" w:type="dxa"/>
            <w:vAlign w:val="center"/>
          </w:tcPr>
          <w:p w14:paraId="0A86BCE7">
            <w:pPr>
              <w:spacing w:line="360" w:lineRule="auto"/>
              <w:jc w:val="center"/>
              <w:rPr>
                <w:rFonts w:ascii="宋体" w:hAnsi="宋体"/>
                <w:b/>
                <w:color w:val="auto"/>
                <w:szCs w:val="21"/>
                <w:highlight w:val="none"/>
              </w:rPr>
            </w:pPr>
          </w:p>
        </w:tc>
        <w:tc>
          <w:tcPr>
            <w:tcW w:w="1603" w:type="dxa"/>
            <w:vAlign w:val="center"/>
          </w:tcPr>
          <w:p w14:paraId="6AC19FC8">
            <w:pPr>
              <w:spacing w:line="360" w:lineRule="auto"/>
              <w:jc w:val="center"/>
              <w:rPr>
                <w:rFonts w:ascii="宋体" w:hAnsi="宋体"/>
                <w:b/>
                <w:color w:val="auto"/>
                <w:szCs w:val="21"/>
                <w:highlight w:val="none"/>
              </w:rPr>
            </w:pPr>
          </w:p>
        </w:tc>
        <w:tc>
          <w:tcPr>
            <w:tcW w:w="1293" w:type="dxa"/>
            <w:vAlign w:val="center"/>
          </w:tcPr>
          <w:p w14:paraId="7C768F71">
            <w:pPr>
              <w:spacing w:line="360" w:lineRule="auto"/>
              <w:jc w:val="center"/>
              <w:rPr>
                <w:rFonts w:ascii="宋体" w:hAnsi="宋体"/>
                <w:b/>
                <w:color w:val="auto"/>
                <w:szCs w:val="21"/>
                <w:highlight w:val="none"/>
              </w:rPr>
            </w:pPr>
          </w:p>
        </w:tc>
      </w:tr>
      <w:tr w14:paraId="743A3B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272A45DE">
            <w:pPr>
              <w:spacing w:line="360" w:lineRule="auto"/>
              <w:jc w:val="center"/>
              <w:rPr>
                <w:rFonts w:ascii="宋体" w:hAnsi="宋体"/>
                <w:color w:val="auto"/>
                <w:spacing w:val="-4"/>
                <w:szCs w:val="21"/>
                <w:highlight w:val="none"/>
              </w:rPr>
            </w:pPr>
          </w:p>
        </w:tc>
        <w:tc>
          <w:tcPr>
            <w:tcW w:w="1243" w:type="dxa"/>
            <w:vAlign w:val="center"/>
          </w:tcPr>
          <w:p w14:paraId="18F4CAF0">
            <w:pPr>
              <w:spacing w:line="360" w:lineRule="auto"/>
              <w:jc w:val="center"/>
              <w:rPr>
                <w:rFonts w:ascii="宋体" w:hAnsi="宋体"/>
                <w:color w:val="auto"/>
                <w:szCs w:val="21"/>
                <w:highlight w:val="none"/>
              </w:rPr>
            </w:pPr>
          </w:p>
        </w:tc>
        <w:tc>
          <w:tcPr>
            <w:tcW w:w="1770" w:type="dxa"/>
          </w:tcPr>
          <w:p w14:paraId="3D20A8D5">
            <w:pPr>
              <w:spacing w:line="360" w:lineRule="auto"/>
              <w:jc w:val="center"/>
              <w:rPr>
                <w:rFonts w:ascii="宋体" w:hAnsi="宋体"/>
                <w:b/>
                <w:color w:val="auto"/>
                <w:szCs w:val="21"/>
                <w:highlight w:val="none"/>
              </w:rPr>
            </w:pPr>
          </w:p>
        </w:tc>
        <w:tc>
          <w:tcPr>
            <w:tcW w:w="1843" w:type="dxa"/>
            <w:vAlign w:val="center"/>
          </w:tcPr>
          <w:p w14:paraId="4E2A824E">
            <w:pPr>
              <w:spacing w:line="360" w:lineRule="auto"/>
              <w:jc w:val="center"/>
              <w:rPr>
                <w:rFonts w:ascii="宋体" w:hAnsi="宋体"/>
                <w:b/>
                <w:color w:val="auto"/>
                <w:szCs w:val="21"/>
                <w:highlight w:val="none"/>
              </w:rPr>
            </w:pPr>
          </w:p>
        </w:tc>
        <w:tc>
          <w:tcPr>
            <w:tcW w:w="1603" w:type="dxa"/>
            <w:vAlign w:val="center"/>
          </w:tcPr>
          <w:p w14:paraId="3401CEA8">
            <w:pPr>
              <w:spacing w:line="360" w:lineRule="auto"/>
              <w:jc w:val="center"/>
              <w:rPr>
                <w:rFonts w:ascii="宋体" w:hAnsi="宋体"/>
                <w:b/>
                <w:color w:val="auto"/>
                <w:szCs w:val="21"/>
                <w:highlight w:val="none"/>
              </w:rPr>
            </w:pPr>
          </w:p>
        </w:tc>
        <w:tc>
          <w:tcPr>
            <w:tcW w:w="1293" w:type="dxa"/>
            <w:vAlign w:val="center"/>
          </w:tcPr>
          <w:p w14:paraId="2B2602C9">
            <w:pPr>
              <w:spacing w:line="360" w:lineRule="auto"/>
              <w:jc w:val="center"/>
              <w:rPr>
                <w:rFonts w:ascii="宋体" w:hAnsi="宋体"/>
                <w:b/>
                <w:color w:val="auto"/>
                <w:szCs w:val="21"/>
                <w:highlight w:val="none"/>
              </w:rPr>
            </w:pPr>
          </w:p>
        </w:tc>
      </w:tr>
      <w:tr w14:paraId="4DBEF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1FA6FADE">
            <w:pPr>
              <w:spacing w:line="360" w:lineRule="auto"/>
              <w:jc w:val="center"/>
              <w:rPr>
                <w:rFonts w:hint="default" w:ascii="宋体" w:hAnsi="宋体" w:eastAsia="宋体"/>
                <w:color w:val="auto"/>
                <w:spacing w:val="-4"/>
                <w:szCs w:val="21"/>
                <w:highlight w:val="none"/>
                <w:lang w:val="en-US" w:eastAsia="zh-CN"/>
              </w:rPr>
            </w:pPr>
            <w:r>
              <w:rPr>
                <w:rFonts w:hint="eastAsia" w:ascii="宋体" w:hAnsi="宋体"/>
                <w:color w:val="auto"/>
                <w:spacing w:val="-4"/>
                <w:szCs w:val="21"/>
                <w:highlight w:val="none"/>
                <w:lang w:val="en-US" w:eastAsia="zh-CN"/>
              </w:rPr>
              <w:t>...</w:t>
            </w:r>
          </w:p>
        </w:tc>
        <w:tc>
          <w:tcPr>
            <w:tcW w:w="1243" w:type="dxa"/>
            <w:vAlign w:val="center"/>
          </w:tcPr>
          <w:p w14:paraId="6029B120">
            <w:pPr>
              <w:spacing w:line="360" w:lineRule="auto"/>
              <w:jc w:val="center"/>
              <w:rPr>
                <w:rFonts w:ascii="宋体" w:hAnsi="宋体"/>
                <w:color w:val="auto"/>
                <w:szCs w:val="21"/>
                <w:highlight w:val="none"/>
              </w:rPr>
            </w:pPr>
          </w:p>
        </w:tc>
        <w:tc>
          <w:tcPr>
            <w:tcW w:w="1770" w:type="dxa"/>
          </w:tcPr>
          <w:p w14:paraId="1B989879">
            <w:pPr>
              <w:spacing w:line="360" w:lineRule="auto"/>
              <w:jc w:val="center"/>
              <w:rPr>
                <w:rFonts w:ascii="宋体" w:hAnsi="宋体"/>
                <w:b/>
                <w:color w:val="auto"/>
                <w:szCs w:val="21"/>
                <w:highlight w:val="none"/>
              </w:rPr>
            </w:pPr>
          </w:p>
        </w:tc>
        <w:tc>
          <w:tcPr>
            <w:tcW w:w="1843" w:type="dxa"/>
            <w:vAlign w:val="center"/>
          </w:tcPr>
          <w:p w14:paraId="14919077">
            <w:pPr>
              <w:spacing w:line="360" w:lineRule="auto"/>
              <w:jc w:val="center"/>
              <w:rPr>
                <w:rFonts w:ascii="宋体" w:hAnsi="宋体"/>
                <w:b/>
                <w:color w:val="auto"/>
                <w:szCs w:val="21"/>
                <w:highlight w:val="none"/>
              </w:rPr>
            </w:pPr>
          </w:p>
        </w:tc>
        <w:tc>
          <w:tcPr>
            <w:tcW w:w="1603" w:type="dxa"/>
            <w:vAlign w:val="center"/>
          </w:tcPr>
          <w:p w14:paraId="2CF55A14">
            <w:pPr>
              <w:spacing w:line="360" w:lineRule="auto"/>
              <w:jc w:val="center"/>
              <w:rPr>
                <w:rFonts w:ascii="宋体" w:hAnsi="宋体"/>
                <w:b/>
                <w:color w:val="auto"/>
                <w:szCs w:val="21"/>
                <w:highlight w:val="none"/>
              </w:rPr>
            </w:pPr>
          </w:p>
        </w:tc>
        <w:tc>
          <w:tcPr>
            <w:tcW w:w="1293" w:type="dxa"/>
            <w:vAlign w:val="center"/>
          </w:tcPr>
          <w:p w14:paraId="13CD509C">
            <w:pPr>
              <w:spacing w:line="360" w:lineRule="auto"/>
              <w:jc w:val="center"/>
              <w:rPr>
                <w:rFonts w:ascii="宋体" w:hAnsi="宋体"/>
                <w:b/>
                <w:color w:val="auto"/>
                <w:szCs w:val="21"/>
                <w:highlight w:val="none"/>
              </w:rPr>
            </w:pPr>
          </w:p>
        </w:tc>
      </w:tr>
    </w:tbl>
    <w:p w14:paraId="31C5D532">
      <w:pPr>
        <w:tabs>
          <w:tab w:val="left" w:pos="1815"/>
        </w:tabs>
        <w:spacing w:line="360" w:lineRule="auto"/>
        <w:rPr>
          <w:rFonts w:ascii="宋体" w:hAnsi="宋体" w:cs="Arial"/>
          <w:color w:val="auto"/>
          <w:sz w:val="21"/>
          <w:szCs w:val="21"/>
          <w:highlight w:val="none"/>
        </w:rPr>
      </w:pPr>
      <w:r>
        <w:rPr>
          <w:rFonts w:ascii="宋体" w:hAnsi="宋体" w:cs="Arial"/>
          <w:b/>
          <w:color w:val="auto"/>
          <w:szCs w:val="21"/>
          <w:highlight w:val="none"/>
        </w:rPr>
        <w:t>注：</w:t>
      </w:r>
      <w:r>
        <w:rPr>
          <w:rFonts w:ascii="宋体" w:hAnsi="宋体" w:cs="Arial"/>
          <w:color w:val="auto"/>
          <w:sz w:val="21"/>
          <w:szCs w:val="21"/>
          <w:highlight w:val="none"/>
        </w:rPr>
        <w:t>1、</w:t>
      </w:r>
      <w:r>
        <w:rPr>
          <w:rFonts w:hint="eastAsia" w:ascii="宋体" w:hAnsi="宋体" w:cs="Arial"/>
          <w:color w:val="auto"/>
          <w:sz w:val="21"/>
          <w:szCs w:val="21"/>
          <w:highlight w:val="none"/>
          <w:lang w:eastAsia="zh-CN"/>
        </w:rPr>
        <w:t>响应人</w:t>
      </w:r>
      <w:r>
        <w:rPr>
          <w:rFonts w:ascii="宋体" w:hAnsi="宋体" w:cs="Arial"/>
          <w:color w:val="auto"/>
          <w:sz w:val="21"/>
          <w:szCs w:val="21"/>
          <w:highlight w:val="none"/>
        </w:rPr>
        <w:t>必须将自己所投</w:t>
      </w:r>
      <w:r>
        <w:rPr>
          <w:rFonts w:hint="eastAsia" w:ascii="宋体" w:hAnsi="宋体" w:cs="Arial"/>
          <w:color w:val="auto"/>
          <w:sz w:val="21"/>
          <w:szCs w:val="21"/>
          <w:highlight w:val="none"/>
        </w:rPr>
        <w:t>货物</w:t>
      </w:r>
      <w:r>
        <w:rPr>
          <w:rFonts w:ascii="宋体" w:hAnsi="宋体" w:cs="Arial"/>
          <w:color w:val="auto"/>
          <w:sz w:val="21"/>
          <w:szCs w:val="21"/>
          <w:highlight w:val="none"/>
        </w:rPr>
        <w:t>真实、准确地填入</w:t>
      </w:r>
      <w:r>
        <w:rPr>
          <w:rFonts w:hint="eastAsia" w:ascii="宋体" w:hAnsi="宋体" w:cs="Arial"/>
          <w:color w:val="auto"/>
          <w:sz w:val="21"/>
          <w:szCs w:val="21"/>
          <w:highlight w:val="none"/>
        </w:rPr>
        <w:t>以上表格</w:t>
      </w:r>
      <w:r>
        <w:rPr>
          <w:rFonts w:ascii="宋体" w:hAnsi="宋体" w:cs="Arial"/>
          <w:color w:val="auto"/>
          <w:sz w:val="21"/>
          <w:szCs w:val="21"/>
          <w:highlight w:val="none"/>
        </w:rPr>
        <w:t>中</w:t>
      </w:r>
      <w:r>
        <w:rPr>
          <w:rFonts w:hint="eastAsia" w:ascii="宋体" w:hAnsi="宋体" w:cs="Arial"/>
          <w:color w:val="auto"/>
          <w:sz w:val="21"/>
          <w:szCs w:val="21"/>
          <w:highlight w:val="none"/>
        </w:rPr>
        <w:t>。</w:t>
      </w:r>
    </w:p>
    <w:p w14:paraId="7EAD3088">
      <w:pPr>
        <w:tabs>
          <w:tab w:val="left" w:pos="1815"/>
        </w:tabs>
        <w:spacing w:line="360" w:lineRule="auto"/>
        <w:ind w:left="1" w:firstLine="417" w:firstLineChars="199"/>
        <w:rPr>
          <w:rFonts w:ascii="宋体" w:hAnsi="宋体" w:cs="Arial"/>
          <w:color w:val="auto"/>
          <w:sz w:val="21"/>
          <w:szCs w:val="21"/>
          <w:highlight w:val="none"/>
        </w:rPr>
      </w:pPr>
      <w:r>
        <w:rPr>
          <w:rFonts w:ascii="宋体" w:hAnsi="宋体" w:cs="Arial"/>
          <w:color w:val="auto"/>
          <w:sz w:val="21"/>
          <w:szCs w:val="21"/>
          <w:highlight w:val="none"/>
        </w:rPr>
        <w:t>2、</w:t>
      </w:r>
      <w:r>
        <w:rPr>
          <w:rFonts w:hint="eastAsia" w:ascii="宋体" w:hAnsi="宋体" w:cs="Arial"/>
          <w:color w:val="auto"/>
          <w:sz w:val="21"/>
          <w:szCs w:val="21"/>
          <w:highlight w:val="none"/>
          <w:lang w:eastAsia="zh-CN"/>
        </w:rPr>
        <w:t>响应人</w:t>
      </w:r>
      <w:r>
        <w:rPr>
          <w:rFonts w:ascii="宋体" w:hAnsi="宋体" w:cs="Arial"/>
          <w:color w:val="auto"/>
          <w:sz w:val="21"/>
          <w:szCs w:val="21"/>
          <w:highlight w:val="none"/>
        </w:rPr>
        <w:t>必须根据自己所投</w:t>
      </w:r>
      <w:r>
        <w:rPr>
          <w:rFonts w:hint="eastAsia" w:ascii="宋体" w:hAnsi="宋体" w:cs="Arial"/>
          <w:color w:val="auto"/>
          <w:sz w:val="21"/>
          <w:szCs w:val="21"/>
          <w:highlight w:val="none"/>
        </w:rPr>
        <w:t>货物</w:t>
      </w:r>
      <w:r>
        <w:rPr>
          <w:rFonts w:ascii="宋体" w:hAnsi="宋体" w:cs="Arial"/>
          <w:color w:val="auto"/>
          <w:sz w:val="21"/>
          <w:szCs w:val="21"/>
          <w:highlight w:val="none"/>
        </w:rPr>
        <w:t>与“</w:t>
      </w:r>
      <w:r>
        <w:rPr>
          <w:rFonts w:hint="eastAsia" w:ascii="宋体" w:hAnsi="宋体"/>
          <w:color w:val="auto"/>
          <w:sz w:val="21"/>
          <w:szCs w:val="21"/>
          <w:highlight w:val="none"/>
        </w:rPr>
        <w:t>技术参数</w:t>
      </w:r>
      <w:r>
        <w:rPr>
          <w:rFonts w:hint="eastAsia" w:ascii="宋体" w:hAnsi="宋体"/>
          <w:color w:val="auto"/>
          <w:sz w:val="21"/>
          <w:szCs w:val="21"/>
          <w:highlight w:val="none"/>
          <w:lang w:val="en-US" w:eastAsia="zh-CN"/>
        </w:rPr>
        <w:t>要求</w:t>
      </w:r>
      <w:r>
        <w:rPr>
          <w:rFonts w:ascii="宋体" w:hAnsi="宋体" w:cs="Arial"/>
          <w:color w:val="auto"/>
          <w:sz w:val="21"/>
          <w:szCs w:val="21"/>
          <w:highlight w:val="none"/>
        </w:rPr>
        <w:t>”的差异情况，实事求是地填写“响应情况”（</w:t>
      </w:r>
      <w:r>
        <w:rPr>
          <w:rFonts w:ascii="宋体" w:hAnsi="宋体" w:cs="Arial"/>
          <w:b/>
          <w:color w:val="auto"/>
          <w:sz w:val="21"/>
          <w:szCs w:val="21"/>
          <w:highlight w:val="none"/>
        </w:rPr>
        <w:t>优于、满足、不满足</w:t>
      </w:r>
      <w:r>
        <w:rPr>
          <w:rFonts w:ascii="宋体" w:hAnsi="宋体" w:cs="Arial"/>
          <w:color w:val="auto"/>
          <w:sz w:val="21"/>
          <w:szCs w:val="21"/>
          <w:highlight w:val="none"/>
        </w:rPr>
        <w:t>）。</w:t>
      </w:r>
    </w:p>
    <w:p w14:paraId="7C49C552">
      <w:pPr>
        <w:pageBreakBefore w:val="0"/>
        <w:widowControl w:val="0"/>
        <w:tabs>
          <w:tab w:val="left" w:pos="1815"/>
        </w:tabs>
        <w:kinsoku/>
        <w:wordWrap/>
        <w:overflowPunct/>
        <w:topLinePunct w:val="0"/>
        <w:autoSpaceDE/>
        <w:autoSpaceDN/>
        <w:bidi w:val="0"/>
        <w:adjustRightInd w:val="0"/>
        <w:snapToGrid/>
        <w:spacing w:after="157" w:afterLines="50" w:line="240" w:lineRule="auto"/>
        <w:ind w:left="1" w:firstLine="417" w:firstLineChars="199"/>
        <w:textAlignment w:val="auto"/>
        <w:rPr>
          <w:rFonts w:hint="eastAsia" w:ascii="宋体" w:hAnsi="宋体"/>
          <w:b w:val="0"/>
          <w:bCs w:val="0"/>
          <w:color w:val="auto"/>
          <w:sz w:val="21"/>
          <w:szCs w:val="21"/>
          <w:highlight w:val="none"/>
        </w:rPr>
      </w:pPr>
      <w:bookmarkStart w:id="246" w:name="OLE_LINK6"/>
      <w:r>
        <w:rPr>
          <w:rFonts w:hint="eastAsia" w:ascii="宋体" w:hAnsi="宋体" w:cs="Arial"/>
          <w:b w:val="0"/>
          <w:bCs w:val="0"/>
          <w:color w:val="auto"/>
          <w:sz w:val="21"/>
          <w:szCs w:val="21"/>
          <w:highlight w:val="none"/>
        </w:rPr>
        <w:t>3、若</w:t>
      </w:r>
      <w:r>
        <w:rPr>
          <w:rFonts w:hint="eastAsia" w:ascii="宋体" w:hAnsi="宋体"/>
          <w:b w:val="0"/>
          <w:bCs w:val="0"/>
          <w:color w:val="auto"/>
          <w:sz w:val="21"/>
          <w:szCs w:val="21"/>
          <w:highlight w:val="none"/>
          <w:lang w:eastAsia="zh-CN"/>
        </w:rPr>
        <w:t>响应人</w:t>
      </w:r>
      <w:r>
        <w:rPr>
          <w:rFonts w:hint="eastAsia" w:ascii="宋体" w:hAnsi="宋体"/>
          <w:b w:val="0"/>
          <w:bCs w:val="0"/>
          <w:color w:val="auto"/>
          <w:sz w:val="21"/>
          <w:szCs w:val="21"/>
          <w:highlight w:val="none"/>
        </w:rPr>
        <w:t>所投货物为进口产品的，必须在表中明确列出所投进口产品的原产地。</w:t>
      </w:r>
    </w:p>
    <w:bookmarkEnd w:id="246"/>
    <w:p w14:paraId="78BEABF6">
      <w:pPr>
        <w:pStyle w:val="8"/>
        <w:keepNext/>
        <w:keepLines/>
        <w:pageBreakBefore w:val="0"/>
        <w:widowControl w:val="0"/>
        <w:tabs>
          <w:tab w:val="left" w:pos="2730"/>
        </w:tabs>
        <w:kinsoku/>
        <w:wordWrap/>
        <w:overflowPunct/>
        <w:topLinePunct w:val="0"/>
        <w:autoSpaceDE/>
        <w:autoSpaceDN/>
        <w:bidi w:val="0"/>
        <w:adjustRightInd w:val="0"/>
        <w:snapToGrid/>
        <w:spacing w:before="157" w:beforeLines="50" w:after="157" w:afterLines="50" w:line="240" w:lineRule="auto"/>
        <w:ind w:firstLine="420" w:firstLineChars="200"/>
        <w:textAlignment w:val="auto"/>
        <w:rPr>
          <w:rFonts w:hint="eastAsia" w:ascii="宋体" w:hAnsi="宋体" w:eastAsia="宋体" w:cs="Arial"/>
          <w:b w:val="0"/>
          <w:bCs w:val="0"/>
          <w:color w:val="auto"/>
          <w:sz w:val="21"/>
          <w:szCs w:val="21"/>
          <w:highlight w:val="none"/>
          <w:lang w:val="en-US" w:eastAsia="zh-CN" w:bidi="ar-SA"/>
        </w:rPr>
      </w:pPr>
      <w:r>
        <w:rPr>
          <w:rFonts w:hint="eastAsia" w:ascii="宋体" w:hAnsi="宋体" w:eastAsia="宋体" w:cs="Arial"/>
          <w:b w:val="0"/>
          <w:bCs w:val="0"/>
          <w:color w:val="auto"/>
          <w:sz w:val="21"/>
          <w:szCs w:val="21"/>
          <w:highlight w:val="none"/>
          <w:lang w:val="en-US" w:eastAsia="zh-CN" w:bidi="ar-SA"/>
        </w:rPr>
        <w:t>4、响应人应按照谈判文件要求提供证明材料。若响应人提供了谈判文件未要求的证明材料，谈判小组将不予评审。</w:t>
      </w:r>
    </w:p>
    <w:p w14:paraId="29DC2A6C">
      <w:pPr>
        <w:spacing w:line="360" w:lineRule="auto"/>
        <w:ind w:firstLine="3561" w:firstLineChars="1696"/>
        <w:rPr>
          <w:rFonts w:ascii="宋体" w:hAnsi="宋体"/>
          <w:color w:val="auto"/>
          <w:szCs w:val="21"/>
          <w:highlight w:val="none"/>
        </w:rPr>
      </w:pPr>
    </w:p>
    <w:p w14:paraId="626AFEA4">
      <w:pPr>
        <w:keepNext w:val="0"/>
        <w:keepLines w:val="0"/>
        <w:widowControl/>
        <w:suppressLineNumbers w:val="0"/>
        <w:spacing w:before="0" w:beforeAutospacing="0" w:after="0" w:afterAutospacing="0" w:line="400" w:lineRule="exact"/>
        <w:ind w:right="240"/>
        <w:jc w:val="both"/>
        <w:rPr>
          <w:rFonts w:hint="eastAsia" w:ascii="宋体" w:hAnsi="宋体" w:eastAsia="宋体" w:cs="宋体"/>
          <w:color w:val="auto"/>
          <w:kern w:val="2"/>
          <w:sz w:val="24"/>
          <w:szCs w:val="24"/>
          <w:highlight w:val="none"/>
          <w:lang w:val="en-US" w:eastAsia="zh-CN" w:bidi="ar"/>
        </w:rPr>
      </w:pPr>
    </w:p>
    <w:p w14:paraId="752B744D">
      <w:pPr>
        <w:keepNext w:val="0"/>
        <w:keepLines w:val="0"/>
        <w:widowControl/>
        <w:suppressLineNumbers w:val="0"/>
        <w:spacing w:before="0" w:beforeAutospacing="0" w:after="0" w:afterAutospacing="0" w:line="400" w:lineRule="exact"/>
        <w:ind w:right="24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22DDD5A">
      <w:pPr>
        <w:spacing w:line="360" w:lineRule="auto"/>
        <w:ind w:firstLine="3600" w:firstLineChars="1500"/>
        <w:rPr>
          <w:rFonts w:hint="eastAsia" w:ascii="宋体" w:hAnsi="宋体" w:eastAsia="宋体"/>
          <w:color w:val="auto"/>
          <w:sz w:val="24"/>
          <w:highlight w:val="none"/>
        </w:rPr>
      </w:pPr>
    </w:p>
    <w:p w14:paraId="5FEFB5C7">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8C1FA38">
      <w:pPr>
        <w:pStyle w:val="8"/>
        <w:tabs>
          <w:tab w:val="left" w:pos="2730"/>
        </w:tabs>
        <w:rPr>
          <w:rFonts w:hint="eastAsia" w:ascii="宋体" w:hAnsi="宋体" w:eastAsia="宋体"/>
          <w:color w:val="auto"/>
          <w:sz w:val="24"/>
          <w:highlight w:val="none"/>
          <w:u w:val="single"/>
        </w:rPr>
        <w:sectPr>
          <w:footerReference r:id="rId9" w:type="default"/>
          <w:pgSz w:w="11906" w:h="16838"/>
          <w:pgMar w:top="1418" w:right="1418" w:bottom="1276" w:left="1418" w:header="680" w:footer="680" w:gutter="0"/>
          <w:pgNumType w:fmt="decimal"/>
          <w:cols w:space="720" w:num="1"/>
          <w:docGrid w:type="lines" w:linePitch="312" w:charSpace="0"/>
        </w:sectPr>
      </w:pPr>
    </w:p>
    <w:p w14:paraId="6279155D">
      <w:pPr>
        <w:rPr>
          <w:rFonts w:hint="eastAsia"/>
          <w:color w:val="auto"/>
          <w:highlight w:val="none"/>
        </w:rPr>
      </w:pPr>
    </w:p>
    <w:p w14:paraId="52B64EC3">
      <w:pPr>
        <w:pStyle w:val="8"/>
        <w:numPr>
          <w:ilvl w:val="0"/>
          <w:numId w:val="7"/>
        </w:numPr>
        <w:tabs>
          <w:tab w:val="left" w:pos="2730"/>
        </w:tabs>
        <w:jc w:val="center"/>
        <w:rPr>
          <w:rFonts w:cs="宋体"/>
          <w:color w:val="auto"/>
          <w:sz w:val="28"/>
          <w:szCs w:val="28"/>
          <w:highlight w:val="none"/>
        </w:rPr>
      </w:pPr>
      <w:r>
        <w:rPr>
          <w:rFonts w:hint="eastAsia" w:cs="宋体"/>
          <w:color w:val="auto"/>
          <w:sz w:val="28"/>
          <w:szCs w:val="28"/>
          <w:highlight w:val="none"/>
        </w:rPr>
        <w:t>最后报价表</w:t>
      </w:r>
      <w:bookmarkEnd w:id="243"/>
    </w:p>
    <w:p w14:paraId="63EF73C9">
      <w:pPr>
        <w:pStyle w:val="4"/>
        <w:rPr>
          <w:color w:val="auto"/>
          <w:highlight w:val="none"/>
        </w:rPr>
      </w:pPr>
    </w:p>
    <w:p w14:paraId="1E3692FD">
      <w:pPr>
        <w:spacing w:line="360" w:lineRule="auto"/>
        <w:rPr>
          <w:color w:val="auto"/>
          <w:sz w:val="24"/>
          <w:highlight w:val="none"/>
        </w:rPr>
      </w:pPr>
      <w:r>
        <w:rPr>
          <w:rFonts w:hint="eastAsia" w:ascii="宋体" w:hAnsi="宋体"/>
          <w:color w:val="auto"/>
          <w:szCs w:val="21"/>
          <w:highlight w:val="none"/>
        </w:rPr>
        <w:t>项目名称：</w:t>
      </w:r>
      <w:r>
        <w:rPr>
          <w:rFonts w:ascii="宋体" w:hAnsi="宋体"/>
          <w:color w:val="auto"/>
          <w:szCs w:val="21"/>
          <w:highlight w:val="none"/>
        </w:rPr>
        <w:t xml:space="preserve">  </w:t>
      </w:r>
    </w:p>
    <w:p w14:paraId="7FE56E14">
      <w:pPr>
        <w:spacing w:line="360" w:lineRule="auto"/>
        <w:rPr>
          <w:rFonts w:eastAsia="仿宋"/>
          <w:color w:val="auto"/>
          <w:kern w:val="0"/>
          <w:sz w:val="24"/>
          <w:highlight w:val="none"/>
          <w:lang w:val="zh-CN"/>
        </w:rPr>
      </w:pPr>
      <w:r>
        <w:rPr>
          <w:rFonts w:hint="eastAsia" w:ascii="宋体" w:hAnsi="宋体"/>
          <w:color w:val="auto"/>
          <w:szCs w:val="21"/>
          <w:highlight w:val="none"/>
        </w:rPr>
        <w:t>项目编号：</w:t>
      </w:r>
      <w:r>
        <w:rPr>
          <w:rFonts w:ascii="宋体" w:hAnsi="宋体"/>
          <w:color w:val="auto"/>
          <w:szCs w:val="21"/>
          <w:highlight w:val="none"/>
        </w:rPr>
        <w:t xml:space="preserve"> </w:t>
      </w:r>
    </w:p>
    <w:p w14:paraId="3F774C65">
      <w:pPr>
        <w:spacing w:line="360" w:lineRule="auto"/>
        <w:ind w:firstLine="6090" w:firstLineChars="2900"/>
        <w:rPr>
          <w:rFonts w:ascii="宋体"/>
          <w:color w:val="auto"/>
          <w:highlight w:val="none"/>
        </w:rPr>
      </w:pPr>
      <w:bookmarkStart w:id="247" w:name="OLE_LINK10"/>
      <w:r>
        <w:rPr>
          <w:rFonts w:hint="eastAsia" w:ascii="宋体" w:hAnsi="宋体"/>
          <w:color w:val="auto"/>
          <w:highlight w:val="none"/>
        </w:rPr>
        <w:t>金额单位：人民币（元）</w:t>
      </w:r>
    </w:p>
    <w:bookmarkEnd w:id="247"/>
    <w:tbl>
      <w:tblPr>
        <w:tblStyle w:val="39"/>
        <w:tblW w:w="8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0"/>
        <w:gridCol w:w="6743"/>
      </w:tblGrid>
      <w:tr w14:paraId="1AE56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9" w:hRule="exact"/>
          <w:jc w:val="center"/>
        </w:trPr>
        <w:tc>
          <w:tcPr>
            <w:tcW w:w="1650" w:type="dxa"/>
            <w:vMerge w:val="restart"/>
            <w:vAlign w:val="center"/>
          </w:tcPr>
          <w:p w14:paraId="54483CC1">
            <w:pPr>
              <w:spacing w:line="400" w:lineRule="exact"/>
              <w:jc w:val="center"/>
              <w:rPr>
                <w:color w:val="auto"/>
                <w:sz w:val="24"/>
                <w:highlight w:val="none"/>
              </w:rPr>
            </w:pPr>
            <w:r>
              <w:rPr>
                <w:rFonts w:hint="eastAsia" w:hAnsi="宋体"/>
                <w:color w:val="auto"/>
                <w:sz w:val="24"/>
                <w:highlight w:val="none"/>
              </w:rPr>
              <w:t>最后报价</w:t>
            </w:r>
          </w:p>
        </w:tc>
        <w:tc>
          <w:tcPr>
            <w:tcW w:w="6743" w:type="dxa"/>
            <w:vAlign w:val="center"/>
          </w:tcPr>
          <w:p w14:paraId="310DB973">
            <w:pPr>
              <w:wordWrap w:val="0"/>
              <w:spacing w:line="400" w:lineRule="exact"/>
              <w:rPr>
                <w:rFonts w:hint="eastAsia" w:hAnsi="宋体"/>
                <w:color w:val="auto"/>
                <w:sz w:val="24"/>
                <w:highlight w:val="none"/>
              </w:rPr>
            </w:pPr>
          </w:p>
          <w:p w14:paraId="0DA5DAB6">
            <w:pPr>
              <w:wordWrap w:val="0"/>
              <w:spacing w:line="400" w:lineRule="exact"/>
              <w:rPr>
                <w:rFonts w:hint="eastAsia"/>
                <w:color w:val="auto"/>
                <w:sz w:val="24"/>
                <w:highlight w:val="none"/>
                <w:lang w:val="en-US" w:eastAsia="zh-CN"/>
              </w:rPr>
            </w:pPr>
            <w:r>
              <w:rPr>
                <w:rFonts w:hint="eastAsia" w:hAnsi="宋体"/>
                <w:color w:val="auto"/>
                <w:sz w:val="24"/>
                <w:highlight w:val="none"/>
              </w:rPr>
              <w:t>大写：</w:t>
            </w:r>
            <w:r>
              <w:rPr>
                <w:color w:val="auto"/>
                <w:sz w:val="24"/>
                <w:highlight w:val="none"/>
              </w:rPr>
              <w:t xml:space="preserve"> </w:t>
            </w:r>
          </w:p>
          <w:p w14:paraId="0A591B59">
            <w:pPr>
              <w:wordWrap w:val="0"/>
              <w:spacing w:line="400" w:lineRule="exact"/>
              <w:rPr>
                <w:color w:val="auto"/>
                <w:sz w:val="24"/>
                <w:highlight w:val="none"/>
              </w:rPr>
            </w:pPr>
            <w:r>
              <w:rPr>
                <w:rFonts w:hint="eastAsia"/>
                <w:color w:val="auto"/>
                <w:sz w:val="21"/>
                <w:szCs w:val="21"/>
                <w:highlight w:val="none"/>
                <w:lang w:val="en-US" w:eastAsia="zh-CN"/>
              </w:rPr>
              <w:t>注：此表请各供应商准备好，以便在谈判时报价使用</w:t>
            </w:r>
            <w:r>
              <w:rPr>
                <w:color w:val="auto"/>
                <w:sz w:val="24"/>
                <w:highlight w:val="none"/>
              </w:rPr>
              <w:t xml:space="preserve">                   </w:t>
            </w:r>
          </w:p>
        </w:tc>
      </w:tr>
      <w:tr w14:paraId="32384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exact"/>
          <w:jc w:val="center"/>
        </w:trPr>
        <w:tc>
          <w:tcPr>
            <w:tcW w:w="1650" w:type="dxa"/>
            <w:vMerge w:val="continue"/>
            <w:vAlign w:val="center"/>
          </w:tcPr>
          <w:p w14:paraId="596F3D03">
            <w:pPr>
              <w:spacing w:line="400" w:lineRule="exact"/>
              <w:jc w:val="center"/>
              <w:rPr>
                <w:color w:val="auto"/>
                <w:sz w:val="24"/>
                <w:highlight w:val="none"/>
              </w:rPr>
            </w:pPr>
          </w:p>
        </w:tc>
        <w:tc>
          <w:tcPr>
            <w:tcW w:w="6743" w:type="dxa"/>
            <w:vAlign w:val="center"/>
          </w:tcPr>
          <w:p w14:paraId="4FDCB7EE">
            <w:pPr>
              <w:wordWrap w:val="0"/>
              <w:rPr>
                <w:rFonts w:hAnsi="宋体"/>
                <w:color w:val="auto"/>
                <w:sz w:val="24"/>
                <w:highlight w:val="none"/>
              </w:rPr>
            </w:pPr>
            <w:r>
              <w:rPr>
                <w:rFonts w:hint="eastAsia" w:hAnsi="宋体"/>
                <w:color w:val="auto"/>
                <w:sz w:val="24"/>
                <w:highlight w:val="none"/>
              </w:rPr>
              <w:t>小写：</w:t>
            </w:r>
            <w:r>
              <w:rPr>
                <w:rFonts w:hAnsi="宋体"/>
                <w:color w:val="auto"/>
                <w:sz w:val="24"/>
                <w:highlight w:val="none"/>
              </w:rPr>
              <w:t xml:space="preserve">                  </w:t>
            </w:r>
          </w:p>
        </w:tc>
      </w:tr>
      <w:tr w14:paraId="299DB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exact"/>
          <w:jc w:val="center"/>
        </w:trPr>
        <w:tc>
          <w:tcPr>
            <w:tcW w:w="8393" w:type="dxa"/>
            <w:gridSpan w:val="2"/>
            <w:vAlign w:val="center"/>
          </w:tcPr>
          <w:p w14:paraId="119F5C61">
            <w:pPr>
              <w:spacing w:line="400" w:lineRule="exact"/>
              <w:rPr>
                <w:rFonts w:hAnsi="宋体"/>
                <w:color w:val="auto"/>
                <w:sz w:val="24"/>
                <w:highlight w:val="none"/>
              </w:rPr>
            </w:pPr>
            <w:r>
              <w:rPr>
                <w:rFonts w:hint="eastAsia" w:hAnsi="宋体"/>
                <w:color w:val="auto"/>
                <w:sz w:val="24"/>
                <w:highlight w:val="none"/>
              </w:rPr>
              <w:t>备注：</w:t>
            </w:r>
          </w:p>
          <w:p w14:paraId="132D9600">
            <w:pPr>
              <w:spacing w:line="400" w:lineRule="exact"/>
              <w:rPr>
                <w:rFonts w:hAnsi="宋体"/>
                <w:color w:val="auto"/>
                <w:sz w:val="24"/>
                <w:highlight w:val="none"/>
              </w:rPr>
            </w:pPr>
            <w:r>
              <w:rPr>
                <w:rFonts w:hAnsi="宋体"/>
                <w:color w:val="auto"/>
                <w:sz w:val="24"/>
                <w:highlight w:val="none"/>
              </w:rPr>
              <w:t>1</w:t>
            </w:r>
            <w:r>
              <w:rPr>
                <w:rFonts w:hint="eastAsia" w:hAnsi="宋体"/>
                <w:color w:val="auto"/>
                <w:sz w:val="24"/>
                <w:highlight w:val="none"/>
              </w:rPr>
              <w:t>、分项报价按总报价的同等比例下浮；</w:t>
            </w:r>
          </w:p>
          <w:p w14:paraId="1AF4CE5A">
            <w:pPr>
              <w:spacing w:line="400" w:lineRule="exact"/>
              <w:rPr>
                <w:rFonts w:hAnsi="宋体"/>
                <w:color w:val="auto"/>
                <w:sz w:val="24"/>
                <w:highlight w:val="none"/>
              </w:rPr>
            </w:pPr>
            <w:r>
              <w:rPr>
                <w:rFonts w:hAnsi="宋体"/>
                <w:color w:val="auto"/>
                <w:sz w:val="24"/>
                <w:highlight w:val="none"/>
              </w:rPr>
              <w:t>2</w:t>
            </w:r>
            <w:r>
              <w:rPr>
                <w:rFonts w:hint="eastAsia" w:hAnsi="宋体"/>
                <w:color w:val="auto"/>
                <w:sz w:val="24"/>
                <w:highlight w:val="none"/>
              </w:rPr>
              <w:t>、最后报价保留两位小数，小数点后第三位四舍五入。</w:t>
            </w:r>
          </w:p>
        </w:tc>
      </w:tr>
    </w:tbl>
    <w:p w14:paraId="74FA3020">
      <w:pPr>
        <w:spacing w:line="360" w:lineRule="auto"/>
        <w:rPr>
          <w:rFonts w:ascii="宋体"/>
          <w:b/>
          <w:color w:val="auto"/>
          <w:sz w:val="24"/>
          <w:highlight w:val="none"/>
        </w:rPr>
      </w:pPr>
    </w:p>
    <w:p w14:paraId="75FD752B">
      <w:pPr>
        <w:pStyle w:val="8"/>
        <w:tabs>
          <w:tab w:val="left" w:pos="2730"/>
        </w:tabs>
        <w:rPr>
          <w:color w:val="auto"/>
          <w:highlight w:val="none"/>
        </w:rPr>
      </w:pPr>
    </w:p>
    <w:p w14:paraId="2BEE1A50">
      <w:pPr>
        <w:pStyle w:val="8"/>
        <w:tabs>
          <w:tab w:val="left" w:pos="2730"/>
        </w:tabs>
        <w:rPr>
          <w:rFonts w:ascii="宋体"/>
          <w:color w:val="auto"/>
          <w:szCs w:val="21"/>
          <w:highlight w:val="none"/>
        </w:rPr>
      </w:pPr>
    </w:p>
    <w:p w14:paraId="17493196">
      <w:pPr>
        <w:rPr>
          <w:color w:val="auto"/>
          <w:highlight w:val="none"/>
        </w:rPr>
      </w:pPr>
    </w:p>
    <w:bookmarkEnd w:id="244"/>
    <w:bookmarkEnd w:id="245"/>
    <w:p w14:paraId="1A20E36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248" w:name="_Toc20013"/>
      <w:bookmarkStart w:id="249" w:name="_Toc2920"/>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5C758E63">
      <w:pPr>
        <w:spacing w:line="360" w:lineRule="auto"/>
        <w:ind w:firstLine="3600" w:firstLineChars="1500"/>
        <w:rPr>
          <w:rFonts w:hint="eastAsia" w:ascii="宋体" w:hAnsi="宋体" w:eastAsia="宋体"/>
          <w:color w:val="auto"/>
          <w:sz w:val="24"/>
          <w:highlight w:val="none"/>
        </w:rPr>
      </w:pPr>
    </w:p>
    <w:p w14:paraId="37B60BB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001B7A20">
      <w:pPr>
        <w:rPr>
          <w:rFonts w:hint="eastAsia" w:cs="宋体"/>
          <w:b/>
          <w:bCs/>
          <w:color w:val="auto"/>
          <w:sz w:val="28"/>
          <w:szCs w:val="28"/>
          <w:highlight w:val="none"/>
          <w:lang w:eastAsia="zh-CN"/>
        </w:rPr>
      </w:pPr>
    </w:p>
    <w:p w14:paraId="31B4122E">
      <w:pPr>
        <w:jc w:val="both"/>
        <w:rPr>
          <w:rFonts w:hint="eastAsia" w:cs="宋体"/>
          <w:b/>
          <w:bCs/>
          <w:color w:val="auto"/>
          <w:sz w:val="28"/>
          <w:szCs w:val="28"/>
          <w:highlight w:val="none"/>
          <w:lang w:eastAsia="zh-CN"/>
        </w:rPr>
      </w:pPr>
    </w:p>
    <w:p w14:paraId="5557B93A">
      <w:pPr>
        <w:jc w:val="both"/>
        <w:rPr>
          <w:rFonts w:hint="eastAsia" w:cs="宋体"/>
          <w:b/>
          <w:bCs/>
          <w:color w:val="auto"/>
          <w:sz w:val="28"/>
          <w:szCs w:val="28"/>
          <w:highlight w:val="none"/>
          <w:lang w:eastAsia="zh-CN"/>
        </w:rPr>
      </w:pPr>
    </w:p>
    <w:p w14:paraId="3AAA3B19">
      <w:pPr>
        <w:jc w:val="both"/>
        <w:rPr>
          <w:rFonts w:hint="eastAsia" w:cs="宋体"/>
          <w:b/>
          <w:bCs/>
          <w:color w:val="auto"/>
          <w:sz w:val="28"/>
          <w:szCs w:val="28"/>
          <w:highlight w:val="none"/>
          <w:lang w:eastAsia="zh-CN"/>
        </w:rPr>
      </w:pPr>
    </w:p>
    <w:p w14:paraId="296379B7">
      <w:pPr>
        <w:pStyle w:val="5"/>
        <w:rPr>
          <w:rFonts w:hint="eastAsia"/>
          <w:lang w:eastAsia="zh-CN"/>
        </w:rPr>
      </w:pPr>
    </w:p>
    <w:p w14:paraId="19F84348">
      <w:pPr>
        <w:jc w:val="center"/>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248"/>
      <w:bookmarkEnd w:id="249"/>
      <w:r>
        <w:rPr>
          <w:rFonts w:hint="eastAsia" w:cs="宋体"/>
          <w:b/>
          <w:bCs/>
          <w:color w:val="auto"/>
          <w:sz w:val="28"/>
          <w:szCs w:val="28"/>
          <w:highlight w:val="none"/>
          <w:lang w:val="en-US" w:eastAsia="zh-CN"/>
        </w:rPr>
        <w:t>供货及技术方案</w:t>
      </w:r>
    </w:p>
    <w:p w14:paraId="7780F482">
      <w:pPr>
        <w:spacing w:line="360" w:lineRule="auto"/>
        <w:ind w:firstLine="420" w:firstLineChars="200"/>
        <w:jc w:val="center"/>
        <w:rPr>
          <w:rFonts w:ascii="仿宋" w:hAnsi="仿宋" w:eastAsia="仿宋"/>
          <w:color w:val="auto"/>
          <w:szCs w:val="21"/>
          <w:highlight w:val="none"/>
        </w:rPr>
      </w:pPr>
    </w:p>
    <w:p w14:paraId="01B3AE3C">
      <w:pPr>
        <w:spacing w:line="360" w:lineRule="auto"/>
        <w:ind w:firstLine="435"/>
        <w:jc w:val="center"/>
        <w:rPr>
          <w:color w:val="auto"/>
          <w:highlight w:val="none"/>
        </w:rPr>
      </w:pPr>
      <w:r>
        <w:rPr>
          <w:rFonts w:hint="eastAsia"/>
          <w:color w:val="auto"/>
          <w:highlight w:val="none"/>
          <w:lang w:val="en-US" w:eastAsia="zh-CN"/>
        </w:rPr>
        <w:t>(响应人可自行制作格式)</w:t>
      </w:r>
    </w:p>
    <w:p w14:paraId="4C9AF1F9">
      <w:pPr>
        <w:spacing w:line="360" w:lineRule="auto"/>
        <w:ind w:firstLine="435"/>
        <w:rPr>
          <w:color w:val="auto"/>
          <w:highlight w:val="none"/>
        </w:rPr>
      </w:pPr>
    </w:p>
    <w:p w14:paraId="3C028BF3">
      <w:pPr>
        <w:spacing w:line="360" w:lineRule="auto"/>
        <w:ind w:firstLine="435"/>
        <w:rPr>
          <w:color w:val="auto"/>
          <w:highlight w:val="none"/>
        </w:rPr>
      </w:pPr>
    </w:p>
    <w:p w14:paraId="14822CF7">
      <w:pPr>
        <w:rPr>
          <w:color w:val="auto"/>
          <w:highlight w:val="none"/>
        </w:rPr>
      </w:pPr>
      <w:r>
        <w:rPr>
          <w:color w:val="auto"/>
          <w:highlight w:val="none"/>
        </w:rPr>
        <w:br w:type="page"/>
      </w:r>
    </w:p>
    <w:p w14:paraId="6B46AC80">
      <w:pPr>
        <w:keepNext w:val="0"/>
        <w:keepLines w:val="0"/>
        <w:widowControl/>
        <w:numPr>
          <w:ilvl w:val="0"/>
          <w:numId w:val="0"/>
        </w:numPr>
        <w:suppressLineNumbers w:val="0"/>
        <w:jc w:val="center"/>
        <w:rPr>
          <w:rFonts w:hint="eastAsia" w:ascii="宋体" w:hAnsi="宋体" w:eastAsia="宋体" w:cs="宋体"/>
          <w:b/>
          <w:color w:val="auto"/>
          <w:kern w:val="2"/>
          <w:sz w:val="28"/>
          <w:szCs w:val="28"/>
          <w:highlight w:val="none"/>
          <w:shd w:val="clear" w:color="auto" w:fill="FFFFFF"/>
          <w:lang w:val="en-US" w:eastAsia="zh-CN" w:bidi="ar-SA"/>
        </w:rPr>
      </w:pPr>
      <w:bookmarkStart w:id="250" w:name="_Toc25547"/>
      <w:bookmarkStart w:id="251" w:name="_Toc2800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、诚信</w:t>
      </w:r>
      <w:r>
        <w:rPr>
          <w:rFonts w:hint="eastAsia" w:ascii="宋体" w:hAnsi="宋体" w:cs="宋体"/>
          <w:b/>
          <w:color w:val="auto"/>
          <w:kern w:val="2"/>
          <w:sz w:val="28"/>
          <w:szCs w:val="28"/>
          <w:highlight w:val="none"/>
          <w:shd w:val="clear" w:color="auto" w:fill="FFFFFF"/>
          <w:lang w:val="en-US" w:eastAsia="zh-CN" w:bidi="ar-SA"/>
        </w:rPr>
        <w:t>响应</w:t>
      </w:r>
      <w:r>
        <w:rPr>
          <w:rFonts w:hint="eastAsia" w:ascii="宋体" w:hAnsi="宋体" w:eastAsia="宋体" w:cs="宋体"/>
          <w:b/>
          <w:color w:val="auto"/>
          <w:kern w:val="2"/>
          <w:sz w:val="28"/>
          <w:szCs w:val="28"/>
          <w:highlight w:val="none"/>
          <w:shd w:val="clear" w:color="auto" w:fill="FFFFFF"/>
          <w:lang w:val="en-US" w:eastAsia="zh-CN" w:bidi="ar-SA"/>
        </w:rPr>
        <w:t>承诺书</w:t>
      </w:r>
      <w:bookmarkEnd w:id="250"/>
      <w:bookmarkEnd w:id="251"/>
    </w:p>
    <w:p w14:paraId="10116FDC">
      <w:pPr>
        <w:rPr>
          <w:rFonts w:ascii="仿宋" w:hAnsi="仿宋" w:eastAsia="仿宋" w:cs="仿宋"/>
          <w:b/>
          <w:bCs/>
          <w:color w:val="auto"/>
          <w:sz w:val="24"/>
          <w:highlight w:val="none"/>
        </w:rPr>
      </w:pPr>
    </w:p>
    <w:p w14:paraId="6ADDFA63">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本</w:t>
      </w:r>
      <w:r>
        <w:rPr>
          <w:rFonts w:hint="eastAsia" w:ascii="仿宋" w:hAnsi="仿宋" w:eastAsia="仿宋" w:cs="仿宋"/>
          <w:b/>
          <w:bCs/>
          <w:color w:val="auto"/>
          <w:sz w:val="24"/>
          <w:highlight w:val="none"/>
          <w:lang w:val="en-US" w:eastAsia="zh-CN"/>
        </w:rPr>
        <w:t>单位</w:t>
      </w:r>
      <w:r>
        <w:rPr>
          <w:rFonts w:hint="eastAsia" w:ascii="仿宋" w:hAnsi="仿宋" w:eastAsia="仿宋" w:cs="仿宋"/>
          <w:b/>
          <w:bCs/>
          <w:color w:val="auto"/>
          <w:sz w:val="24"/>
          <w:highlight w:val="none"/>
        </w:rPr>
        <w:t>郑重承诺：</w:t>
      </w:r>
    </w:p>
    <w:p w14:paraId="5A95F250">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一、将遵循公开、公正和诚实信用的原则自愿参加</w:t>
      </w:r>
      <w:r>
        <w:rPr>
          <w:rFonts w:hint="eastAsia" w:ascii="仿宋" w:hAnsi="仿宋" w:eastAsia="仿宋" w:cs="仿宋"/>
          <w:b/>
          <w:bCs/>
          <w:color w:val="auto"/>
          <w:sz w:val="24"/>
          <w:highlight w:val="none"/>
          <w:u w:val="single"/>
        </w:rPr>
        <w:t xml:space="preserve">              </w:t>
      </w:r>
      <w:r>
        <w:rPr>
          <w:rFonts w:hint="eastAsia" w:ascii="仿宋" w:hAnsi="仿宋" w:eastAsia="仿宋" w:cs="仿宋"/>
          <w:b/>
          <w:bCs/>
          <w:color w:val="auto"/>
          <w:sz w:val="24"/>
          <w:highlight w:val="none"/>
        </w:rPr>
        <w:t>项目的</w:t>
      </w:r>
      <w:r>
        <w:rPr>
          <w:rFonts w:hint="eastAsia" w:ascii="仿宋" w:hAnsi="仿宋" w:eastAsia="仿宋" w:cs="仿宋"/>
          <w:b/>
          <w:bCs/>
          <w:strike w:val="0"/>
          <w:dstrike w:val="0"/>
          <w:color w:val="auto"/>
          <w:sz w:val="24"/>
          <w:highlight w:val="none"/>
          <w:lang w:eastAsia="zh-CN"/>
        </w:rPr>
        <w:t>采购活动</w:t>
      </w:r>
      <w:r>
        <w:rPr>
          <w:rFonts w:hint="eastAsia" w:ascii="仿宋" w:hAnsi="仿宋" w:eastAsia="仿宋" w:cs="仿宋"/>
          <w:b/>
          <w:bCs/>
          <w:color w:val="auto"/>
          <w:sz w:val="24"/>
          <w:highlight w:val="none"/>
        </w:rPr>
        <w:t>；</w:t>
      </w:r>
    </w:p>
    <w:p w14:paraId="1A50E975">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 xml:space="preserve">二、所提供的一切材料都是真实、有效、合法的；  </w:t>
      </w:r>
    </w:p>
    <w:p w14:paraId="5D56DF4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三、不出借、转让资质证书，不让他人挂靠，不以他人名义</w:t>
      </w:r>
      <w:r>
        <w:rPr>
          <w:rFonts w:hint="eastAsia" w:ascii="仿宋" w:hAnsi="仿宋" w:eastAsia="仿宋" w:cs="仿宋"/>
          <w:b/>
          <w:bCs/>
          <w:strike w:val="0"/>
          <w:dstrike w:val="0"/>
          <w:color w:val="auto"/>
          <w:sz w:val="24"/>
          <w:highlight w:val="none"/>
          <w:lang w:eastAsia="zh-CN"/>
        </w:rPr>
        <w:t>参加采购活动</w:t>
      </w:r>
      <w:r>
        <w:rPr>
          <w:rFonts w:hint="eastAsia" w:ascii="仿宋" w:hAnsi="仿宋" w:eastAsia="仿宋" w:cs="仿宋"/>
          <w:b/>
          <w:bCs/>
          <w:color w:val="auto"/>
          <w:sz w:val="24"/>
          <w:highlight w:val="none"/>
        </w:rPr>
        <w:t>或者以其他方式弄虚作假，骗取中标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 xml:space="preserve">；  </w:t>
      </w:r>
    </w:p>
    <w:p w14:paraId="13B8265F">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四、不与其他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相互串通报价，不排挤其他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 xml:space="preserve">的公平竞争、损害采购人的合法权益；  </w:t>
      </w:r>
    </w:p>
    <w:p w14:paraId="03381C95">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五、不与采购单位或其他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串通</w:t>
      </w:r>
      <w:r>
        <w:rPr>
          <w:rFonts w:hint="eastAsia" w:ascii="仿宋" w:hAnsi="仿宋" w:eastAsia="仿宋" w:cs="仿宋"/>
          <w:b/>
          <w:bCs/>
          <w:color w:val="auto"/>
          <w:sz w:val="24"/>
          <w:highlight w:val="none"/>
          <w:lang w:val="en-US" w:eastAsia="zh-CN"/>
        </w:rPr>
        <w:t>参加采购活动</w:t>
      </w:r>
      <w:r>
        <w:rPr>
          <w:rFonts w:hint="eastAsia" w:ascii="仿宋" w:hAnsi="仿宋" w:eastAsia="仿宋" w:cs="仿宋"/>
          <w:b/>
          <w:bCs/>
          <w:color w:val="auto"/>
          <w:sz w:val="24"/>
          <w:highlight w:val="none"/>
        </w:rPr>
        <w:t xml:space="preserve">，损害国家利益、社会公共利益或者他人的合法权益；  </w:t>
      </w:r>
    </w:p>
    <w:p w14:paraId="09E8B050">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六</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后不转包，若有合法分包征得采购人同意；</w:t>
      </w:r>
    </w:p>
    <w:p w14:paraId="037FFB0D">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七</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之后，按照</w:t>
      </w:r>
      <w:r>
        <w:rPr>
          <w:rFonts w:hint="eastAsia" w:ascii="仿宋" w:hAnsi="仿宋" w:eastAsia="仿宋" w:cs="仿宋"/>
          <w:b/>
          <w:bCs/>
          <w:color w:val="auto"/>
          <w:sz w:val="24"/>
          <w:highlight w:val="none"/>
          <w:lang w:eastAsia="zh-CN"/>
        </w:rPr>
        <w:t>响应文件</w:t>
      </w:r>
      <w:r>
        <w:rPr>
          <w:rFonts w:hint="eastAsia" w:ascii="仿宋" w:hAnsi="仿宋" w:eastAsia="仿宋" w:cs="仿宋"/>
          <w:b/>
          <w:bCs/>
          <w:color w:val="auto"/>
          <w:sz w:val="24"/>
          <w:highlight w:val="none"/>
        </w:rPr>
        <w:t>承诺提供货物、服务及派驻人员；</w:t>
      </w:r>
    </w:p>
    <w:p w14:paraId="157C131F">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八</w:t>
      </w:r>
      <w:r>
        <w:rPr>
          <w:rFonts w:hint="eastAsia" w:ascii="仿宋" w:hAnsi="仿宋" w:eastAsia="仿宋" w:cs="仿宋"/>
          <w:b/>
          <w:bCs/>
          <w:color w:val="auto"/>
          <w:sz w:val="24"/>
          <w:highlight w:val="none"/>
        </w:rPr>
        <w:t>、保证企业及所属相关人员在本次</w:t>
      </w:r>
      <w:r>
        <w:rPr>
          <w:rFonts w:hint="eastAsia" w:ascii="仿宋" w:hAnsi="仿宋" w:eastAsia="仿宋" w:cs="仿宋"/>
          <w:b/>
          <w:bCs/>
          <w:color w:val="auto"/>
          <w:sz w:val="24"/>
          <w:highlight w:val="none"/>
          <w:lang w:eastAsia="zh-CN"/>
        </w:rPr>
        <w:t>采购活动</w:t>
      </w:r>
      <w:r>
        <w:rPr>
          <w:rFonts w:hint="eastAsia" w:ascii="仿宋" w:hAnsi="仿宋" w:eastAsia="仿宋" w:cs="仿宋"/>
          <w:b/>
          <w:bCs/>
          <w:color w:val="auto"/>
          <w:sz w:val="24"/>
          <w:highlight w:val="none"/>
        </w:rPr>
        <w:t>中无行贿等犯罪行为；</w:t>
      </w:r>
    </w:p>
    <w:p w14:paraId="00DADC52">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九</w:t>
      </w:r>
      <w:r>
        <w:rPr>
          <w:rFonts w:hint="eastAsia" w:ascii="仿宋" w:hAnsi="仿宋" w:eastAsia="仿宋" w:cs="仿宋"/>
          <w:b/>
          <w:bCs/>
          <w:color w:val="auto"/>
          <w:sz w:val="24"/>
          <w:highlight w:val="none"/>
        </w:rPr>
        <w:t>、我单位在安徽省公共资源交易市场主体库中录入的信息真实，无编造虚假信息。一旦发现弄虚作假将按《诚信承诺书》和有关法律法规中的规定接受处理。</w:t>
      </w:r>
    </w:p>
    <w:p w14:paraId="47C59821">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十、如</w:t>
      </w:r>
      <w:r>
        <w:rPr>
          <w:rFonts w:hint="eastAsia" w:ascii="仿宋" w:hAnsi="仿宋" w:eastAsia="仿宋" w:cs="仿宋"/>
          <w:b/>
          <w:bCs/>
          <w:strike w:val="0"/>
          <w:dstrike w:val="0"/>
          <w:color w:val="auto"/>
          <w:sz w:val="24"/>
          <w:highlight w:val="none"/>
          <w:lang w:eastAsia="zh-CN"/>
        </w:rPr>
        <w:t>对采购过程或采购结果提出投诉，</w:t>
      </w:r>
      <w:r>
        <w:rPr>
          <w:rFonts w:hint="eastAsia" w:ascii="仿宋" w:hAnsi="仿宋" w:eastAsia="仿宋" w:cs="仿宋"/>
          <w:b/>
          <w:bCs/>
          <w:color w:val="auto"/>
          <w:sz w:val="24"/>
          <w:highlight w:val="none"/>
        </w:rPr>
        <w:t>保证按照</w:t>
      </w:r>
      <w:r>
        <w:rPr>
          <w:rFonts w:hint="eastAsia" w:ascii="仿宋" w:hAnsi="仿宋" w:eastAsia="仿宋" w:cs="仿宋"/>
          <w:b/>
          <w:bCs/>
          <w:strike w:val="0"/>
          <w:dstrike w:val="0"/>
          <w:color w:val="auto"/>
          <w:sz w:val="24"/>
          <w:highlight w:val="none"/>
          <w:lang w:eastAsia="zh-CN"/>
        </w:rPr>
        <w:t>《政府采购质疑和投诉办法》</w:t>
      </w:r>
      <w:r>
        <w:rPr>
          <w:rFonts w:hint="eastAsia" w:ascii="仿宋" w:hAnsi="仿宋" w:eastAsia="仿宋" w:cs="仿宋"/>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14:paraId="38890CEE">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w:t>
      </w:r>
      <w:r>
        <w:rPr>
          <w:rFonts w:hint="eastAsia" w:ascii="仿宋" w:hAnsi="仿宋" w:eastAsia="仿宋" w:cs="仿宋"/>
          <w:b/>
          <w:bCs/>
          <w:color w:val="auto"/>
          <w:sz w:val="24"/>
          <w:highlight w:val="none"/>
          <w:lang w:eastAsia="zh-CN"/>
        </w:rPr>
        <w:t>一</w:t>
      </w:r>
      <w:r>
        <w:rPr>
          <w:rFonts w:hint="eastAsia" w:ascii="仿宋" w:hAnsi="仿宋" w:eastAsia="仿宋" w:cs="仿宋"/>
          <w:b/>
          <w:bCs/>
          <w:color w:val="auto"/>
          <w:sz w:val="24"/>
          <w:highlight w:val="none"/>
        </w:rPr>
        <w:t>、我方保证对本次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活动有任何</w:t>
      </w:r>
      <w:r>
        <w:rPr>
          <w:rFonts w:hint="eastAsia" w:ascii="仿宋" w:hAnsi="仿宋" w:eastAsia="仿宋" w:cs="仿宋"/>
          <w:b/>
          <w:bCs/>
          <w:color w:val="auto"/>
          <w:sz w:val="24"/>
          <w:highlight w:val="none"/>
          <w:lang w:val="en-US" w:eastAsia="zh-CN"/>
        </w:rPr>
        <w:t>质疑</w:t>
      </w:r>
      <w:r>
        <w:rPr>
          <w:rFonts w:hint="eastAsia" w:ascii="仿宋" w:hAnsi="仿宋" w:eastAsia="仿宋" w:cs="仿宋"/>
          <w:b/>
          <w:bCs/>
          <w:color w:val="auto"/>
          <w:sz w:val="24"/>
          <w:highlight w:val="none"/>
        </w:rPr>
        <w:t>或投诉，都依法在规定的时间内提出。否则，不针对本次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活动提出任何质疑或投诉。</w:t>
      </w:r>
    </w:p>
    <w:p w14:paraId="68646211">
      <w:pPr>
        <w:spacing w:line="440" w:lineRule="exact"/>
        <w:ind w:firstLine="482" w:firstLineChars="200"/>
        <w:rPr>
          <w:rFonts w:ascii="仿宋" w:hAnsi="仿宋" w:eastAsia="仿宋" w:cs="仿宋"/>
          <w:b/>
          <w:bCs/>
          <w:color w:val="auto"/>
          <w:sz w:val="22"/>
          <w:szCs w:val="22"/>
          <w:highlight w:val="none"/>
        </w:rPr>
      </w:pPr>
      <w:r>
        <w:rPr>
          <w:rFonts w:hint="eastAsia" w:ascii="仿宋" w:hAnsi="仿宋" w:eastAsia="仿宋" w:cs="仿宋"/>
          <w:b/>
          <w:bCs/>
          <w:color w:val="auto"/>
          <w:sz w:val="24"/>
          <w:highlight w:val="none"/>
        </w:rPr>
        <w:t>以上内容我已仔细阅读，本公司若有违反承诺内容的行为，自愿承担</w:t>
      </w:r>
      <w:r>
        <w:rPr>
          <w:rFonts w:hint="eastAsia" w:ascii="仿宋" w:hAnsi="仿宋" w:eastAsia="仿宋" w:cs="仿宋"/>
          <w:b/>
          <w:bCs/>
          <w:color w:val="auto"/>
          <w:sz w:val="24"/>
          <w:highlight w:val="none"/>
          <w:lang w:eastAsia="zh-CN"/>
        </w:rPr>
        <w:t>谈判 文件</w:t>
      </w:r>
      <w:r>
        <w:rPr>
          <w:rFonts w:hint="eastAsia" w:ascii="仿宋" w:hAnsi="仿宋" w:eastAsia="仿宋" w:cs="仿宋"/>
          <w:b/>
          <w:bCs/>
          <w:color w:val="auto"/>
          <w:sz w:val="24"/>
          <w:highlight w:val="none"/>
        </w:rPr>
        <w:t>确定的责任和法律责任并接受相关行政部门给予的处理和处罚。给采购人造成损失的，依法承担赔偿责任。</w:t>
      </w:r>
    </w:p>
    <w:p w14:paraId="5E362D80">
      <w:pPr>
        <w:pStyle w:val="8"/>
        <w:tabs>
          <w:tab w:val="left" w:pos="2730"/>
        </w:tabs>
        <w:rPr>
          <w:rFonts w:hint="eastAsia" w:ascii="仿宋" w:hAnsi="仿宋" w:eastAsia="仿宋" w:cs="仿宋"/>
          <w:b/>
          <w:bCs/>
          <w:color w:val="auto"/>
          <w:sz w:val="24"/>
          <w:highlight w:val="none"/>
        </w:rPr>
      </w:pPr>
    </w:p>
    <w:p w14:paraId="05A90F89">
      <w:pPr>
        <w:rPr>
          <w:color w:val="auto"/>
          <w:highlight w:val="none"/>
        </w:rPr>
      </w:pPr>
    </w:p>
    <w:p w14:paraId="60FACA32">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48B90F3E">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0C3EB2A6">
      <w:pPr>
        <w:spacing w:line="360" w:lineRule="auto"/>
        <w:ind w:firstLine="3600" w:firstLineChars="1500"/>
        <w:rPr>
          <w:rFonts w:hint="eastAsia" w:ascii="宋体" w:hAnsi="宋体" w:eastAsia="宋体"/>
          <w:color w:val="auto"/>
          <w:sz w:val="24"/>
          <w:highlight w:val="none"/>
        </w:rPr>
      </w:pPr>
    </w:p>
    <w:p w14:paraId="47C143BC">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E19944F">
      <w:pPr>
        <w:spacing w:line="360" w:lineRule="auto"/>
        <w:ind w:firstLine="3795" w:firstLineChars="1800"/>
        <w:rPr>
          <w:rFonts w:hint="eastAsia" w:hAnsi="宋体" w:cs="宋体"/>
          <w:b/>
          <w:bCs/>
          <w:color w:val="auto"/>
          <w:highlight w:val="none"/>
        </w:rPr>
      </w:pPr>
    </w:p>
    <w:p w14:paraId="50AEB838">
      <w:pPr>
        <w:ind w:right="480"/>
        <w:jc w:val="right"/>
        <w:rPr>
          <w:rFonts w:ascii="仿宋" w:hAnsi="仿宋" w:eastAsia="仿宋" w:cs="仿宋"/>
          <w:b/>
          <w:bCs/>
          <w:color w:val="auto"/>
          <w:sz w:val="24"/>
          <w:highlight w:val="none"/>
        </w:rPr>
      </w:pPr>
    </w:p>
    <w:p w14:paraId="3CBBDF13">
      <w:pPr>
        <w:rPr>
          <w:rFonts w:hint="eastAsia" w:hAnsi="宋体"/>
          <w:color w:val="auto"/>
          <w:sz w:val="28"/>
          <w:szCs w:val="28"/>
          <w:highlight w:val="none"/>
          <w:lang w:val="en-US" w:eastAsia="zh-CN"/>
        </w:rPr>
      </w:pPr>
      <w:bookmarkStart w:id="252" w:name="_Toc7076"/>
      <w:r>
        <w:rPr>
          <w:rFonts w:hint="eastAsia" w:hAnsi="宋体"/>
          <w:color w:val="auto"/>
          <w:sz w:val="28"/>
          <w:szCs w:val="28"/>
          <w:highlight w:val="none"/>
          <w:lang w:val="en-US" w:eastAsia="zh-CN"/>
        </w:rPr>
        <w:br w:type="page"/>
      </w:r>
    </w:p>
    <w:bookmarkEnd w:id="252"/>
    <w:p w14:paraId="54C00F7B">
      <w:pPr>
        <w:pStyle w:val="8"/>
        <w:tabs>
          <w:tab w:val="left" w:pos="2730"/>
        </w:tabs>
        <w:jc w:val="center"/>
        <w:rPr>
          <w:rFonts w:hAnsi="宋体"/>
          <w:b w:val="0"/>
          <w:color w:val="auto"/>
          <w:sz w:val="28"/>
          <w:szCs w:val="28"/>
          <w:highlight w:val="none"/>
        </w:rPr>
      </w:pPr>
      <w:r>
        <w:rPr>
          <w:rFonts w:hint="eastAsia" w:ascii="仿宋" w:hAnsi="仿宋" w:eastAsia="仿宋" w:cs="仿宋"/>
          <w:bCs/>
          <w:color w:val="auto"/>
          <w:sz w:val="28"/>
          <w:szCs w:val="28"/>
          <w:highlight w:val="none"/>
          <w:lang w:val="en-US" w:eastAsia="zh-CN"/>
        </w:rPr>
        <w:t>七</w:t>
      </w:r>
      <w:r>
        <w:rPr>
          <w:rFonts w:hint="eastAsia" w:ascii="仿宋" w:hAnsi="仿宋" w:eastAsia="仿宋" w:cs="仿宋"/>
          <w:bCs/>
          <w:color w:val="auto"/>
          <w:sz w:val="28"/>
          <w:szCs w:val="28"/>
          <w:highlight w:val="none"/>
        </w:rPr>
        <w:t>、</w:t>
      </w:r>
      <w:r>
        <w:rPr>
          <w:rFonts w:hint="eastAsia" w:hAnsi="宋体"/>
          <w:color w:val="auto"/>
          <w:sz w:val="28"/>
          <w:szCs w:val="28"/>
          <w:highlight w:val="none"/>
        </w:rPr>
        <w:t>中小企业声明函(货物</w:t>
      </w:r>
      <w:r>
        <w:rPr>
          <w:rFonts w:hAnsi="宋体"/>
          <w:color w:val="auto"/>
          <w:sz w:val="28"/>
          <w:szCs w:val="28"/>
          <w:highlight w:val="none"/>
        </w:rPr>
        <w:t>)</w:t>
      </w:r>
    </w:p>
    <w:p w14:paraId="2E8DC513">
      <w:pPr>
        <w:spacing w:line="360" w:lineRule="auto"/>
        <w:ind w:firstLine="480" w:firstLineChars="200"/>
        <w:jc w:val="center"/>
        <w:rPr>
          <w:rFonts w:hint="eastAsia" w:eastAsia="宋体"/>
          <w:i/>
          <w:color w:val="auto"/>
          <w:sz w:val="24"/>
          <w:szCs w:val="24"/>
          <w:highlight w:val="none"/>
          <w:u w:val="single"/>
        </w:rPr>
      </w:pPr>
      <w:r>
        <w:rPr>
          <w:rFonts w:hint="eastAsia" w:eastAsia="宋体"/>
          <w:i/>
          <w:color w:val="auto"/>
          <w:sz w:val="24"/>
          <w:szCs w:val="24"/>
          <w:highlight w:val="none"/>
          <w:u w:val="single"/>
        </w:rPr>
        <w:t>（非中小企业，不需此件）</w:t>
      </w:r>
    </w:p>
    <w:p w14:paraId="0877CBB6">
      <w:pPr>
        <w:spacing w:line="360" w:lineRule="auto"/>
        <w:ind w:firstLine="480" w:firstLineChars="200"/>
        <w:rPr>
          <w:color w:val="auto"/>
          <w:sz w:val="24"/>
          <w:szCs w:val="24"/>
          <w:highlight w:val="none"/>
        </w:rPr>
      </w:pPr>
      <w:r>
        <w:rPr>
          <w:rFonts w:hint="eastAsia"/>
          <w:color w:val="auto"/>
          <w:sz w:val="24"/>
          <w:szCs w:val="24"/>
          <w:highlight w:val="none"/>
        </w:rPr>
        <w:t>本公司</w:t>
      </w:r>
      <w:r>
        <w:rPr>
          <w:color w:val="auto"/>
          <w:sz w:val="24"/>
          <w:szCs w:val="24"/>
          <w:highlight w:val="none"/>
        </w:rPr>
        <w:t>(联合体）郑重声明，根据《政府采购促进中小企业发展管理办法》(财库〔2020〕46号）的规定，本公司(联合体）参加</w:t>
      </w:r>
      <w:r>
        <w:rPr>
          <w:i/>
          <w:color w:val="auto"/>
          <w:sz w:val="24"/>
          <w:szCs w:val="24"/>
          <w:highlight w:val="none"/>
          <w:u w:val="single"/>
        </w:rPr>
        <w:t>(单</w:t>
      </w:r>
      <w:r>
        <w:rPr>
          <w:rFonts w:hint="eastAsia"/>
          <w:i/>
          <w:color w:val="auto"/>
          <w:sz w:val="24"/>
          <w:szCs w:val="24"/>
          <w:highlight w:val="none"/>
          <w:u w:val="single"/>
        </w:rPr>
        <w:t xml:space="preserve"> </w:t>
      </w:r>
      <w:r>
        <w:rPr>
          <w:i/>
          <w:color w:val="auto"/>
          <w:sz w:val="24"/>
          <w:szCs w:val="24"/>
          <w:highlight w:val="none"/>
          <w:u w:val="single"/>
        </w:rPr>
        <w:t>位</w:t>
      </w:r>
      <w:r>
        <w:rPr>
          <w:rFonts w:hint="eastAsia"/>
          <w:i/>
          <w:color w:val="auto"/>
          <w:sz w:val="24"/>
          <w:szCs w:val="24"/>
          <w:highlight w:val="none"/>
          <w:u w:val="single"/>
        </w:rPr>
        <w:t xml:space="preserve"> </w:t>
      </w:r>
      <w:r>
        <w:rPr>
          <w:i/>
          <w:color w:val="auto"/>
          <w:sz w:val="24"/>
          <w:szCs w:val="24"/>
          <w:highlight w:val="none"/>
          <w:u w:val="single"/>
        </w:rPr>
        <w:t>名</w:t>
      </w:r>
      <w:r>
        <w:rPr>
          <w:rFonts w:hint="eastAsia"/>
          <w:i/>
          <w:color w:val="auto"/>
          <w:sz w:val="24"/>
          <w:szCs w:val="24"/>
          <w:highlight w:val="none"/>
          <w:u w:val="single"/>
        </w:rPr>
        <w:t xml:space="preserve"> </w:t>
      </w:r>
      <w:r>
        <w:rPr>
          <w:i/>
          <w:color w:val="auto"/>
          <w:sz w:val="24"/>
          <w:szCs w:val="24"/>
          <w:highlight w:val="none"/>
          <w:u w:val="single"/>
        </w:rPr>
        <w:t>称）</w:t>
      </w:r>
      <w:r>
        <w:rPr>
          <w:color w:val="auto"/>
          <w:sz w:val="24"/>
          <w:szCs w:val="24"/>
          <w:highlight w:val="none"/>
        </w:rPr>
        <w:t>的</w:t>
      </w:r>
      <w:r>
        <w:rPr>
          <w:i/>
          <w:color w:val="auto"/>
          <w:sz w:val="24"/>
          <w:szCs w:val="24"/>
          <w:highlight w:val="none"/>
          <w:u w:val="single"/>
        </w:rPr>
        <w:t>(项</w:t>
      </w:r>
      <w:r>
        <w:rPr>
          <w:rFonts w:hint="eastAsia"/>
          <w:i/>
          <w:color w:val="auto"/>
          <w:sz w:val="24"/>
          <w:szCs w:val="24"/>
          <w:highlight w:val="none"/>
          <w:u w:val="single"/>
        </w:rPr>
        <w:t xml:space="preserve"> </w:t>
      </w:r>
      <w:r>
        <w:rPr>
          <w:i/>
          <w:color w:val="auto"/>
          <w:sz w:val="24"/>
          <w:szCs w:val="24"/>
          <w:highlight w:val="none"/>
          <w:u w:val="single"/>
        </w:rPr>
        <w:t>目</w:t>
      </w:r>
      <w:r>
        <w:rPr>
          <w:rFonts w:hint="eastAsia"/>
          <w:i/>
          <w:color w:val="auto"/>
          <w:sz w:val="24"/>
          <w:szCs w:val="24"/>
          <w:highlight w:val="none"/>
          <w:u w:val="single"/>
        </w:rPr>
        <w:t xml:space="preserve"> </w:t>
      </w:r>
      <w:r>
        <w:rPr>
          <w:i/>
          <w:color w:val="auto"/>
          <w:sz w:val="24"/>
          <w:szCs w:val="24"/>
          <w:highlight w:val="none"/>
          <w:u w:val="single"/>
        </w:rPr>
        <w:t>名</w:t>
      </w:r>
      <w:r>
        <w:rPr>
          <w:rFonts w:hint="eastAsia"/>
          <w:i/>
          <w:color w:val="auto"/>
          <w:sz w:val="24"/>
          <w:szCs w:val="24"/>
          <w:highlight w:val="none"/>
          <w:u w:val="single"/>
        </w:rPr>
        <w:t xml:space="preserve"> </w:t>
      </w:r>
      <w:r>
        <w:rPr>
          <w:i/>
          <w:color w:val="auto"/>
          <w:sz w:val="24"/>
          <w:szCs w:val="24"/>
          <w:highlight w:val="none"/>
          <w:u w:val="single"/>
        </w:rPr>
        <w:t>称）</w:t>
      </w:r>
      <w:r>
        <w:rPr>
          <w:color w:val="auto"/>
          <w:sz w:val="24"/>
          <w:szCs w:val="24"/>
          <w:highlight w:val="none"/>
        </w:rPr>
        <w:t>采购活动，提供的货物全部由符合政策要求的中小企业制造。相关企业(含联合体中的中小企业、签订分包意向协议的中小企业)的具体情况如下</w:t>
      </w:r>
      <w:r>
        <w:rPr>
          <w:rFonts w:hint="eastAsia"/>
          <w:color w:val="auto"/>
          <w:sz w:val="24"/>
          <w:szCs w:val="24"/>
          <w:highlight w:val="none"/>
          <w:lang w:eastAsia="zh-CN"/>
        </w:rPr>
        <w:t>：</w:t>
      </w:r>
    </w:p>
    <w:p w14:paraId="221F9125">
      <w:pPr>
        <w:spacing w:line="360" w:lineRule="auto"/>
        <w:ind w:firstLine="480" w:firstLineChars="200"/>
        <w:rPr>
          <w:color w:val="auto"/>
          <w:sz w:val="24"/>
          <w:szCs w:val="24"/>
          <w:highlight w:val="none"/>
        </w:rPr>
      </w:pPr>
      <w:r>
        <w:rPr>
          <w:color w:val="auto"/>
          <w:sz w:val="24"/>
          <w:szCs w:val="24"/>
          <w:highlight w:val="none"/>
        </w:rPr>
        <w:t>1.</w:t>
      </w:r>
      <w:r>
        <w:rPr>
          <w:i/>
          <w:color w:val="auto"/>
          <w:sz w:val="24"/>
          <w:szCs w:val="24"/>
          <w:highlight w:val="none"/>
          <w:u w:val="single"/>
        </w:rPr>
        <w:t>（标的名称）</w:t>
      </w:r>
      <w:r>
        <w:rPr>
          <w:color w:val="auto"/>
          <w:sz w:val="24"/>
          <w:szCs w:val="24"/>
          <w:highlight w:val="none"/>
        </w:rPr>
        <w:t>，属于</w:t>
      </w:r>
      <w:r>
        <w:rPr>
          <w:i/>
          <w:color w:val="auto"/>
          <w:sz w:val="24"/>
          <w:szCs w:val="24"/>
          <w:highlight w:val="none"/>
          <w:u w:val="single"/>
        </w:rPr>
        <w:t>（采购文件中明确的所属行业）</w:t>
      </w:r>
      <w:r>
        <w:rPr>
          <w:i/>
          <w:color w:val="auto"/>
          <w:sz w:val="24"/>
          <w:szCs w:val="24"/>
          <w:highlight w:val="none"/>
        </w:rPr>
        <w:t>行业</w:t>
      </w:r>
      <w:r>
        <w:rPr>
          <w:rFonts w:hint="eastAsia"/>
          <w:i/>
          <w:color w:val="auto"/>
          <w:sz w:val="24"/>
          <w:szCs w:val="24"/>
          <w:highlight w:val="none"/>
          <w:lang w:eastAsia="zh-CN"/>
        </w:rPr>
        <w:t>；</w:t>
      </w:r>
      <w:r>
        <w:rPr>
          <w:color w:val="auto"/>
          <w:sz w:val="24"/>
          <w:szCs w:val="24"/>
          <w:highlight w:val="none"/>
        </w:rPr>
        <w:t>制造商为</w:t>
      </w:r>
      <w:r>
        <w:rPr>
          <w:i/>
          <w:color w:val="auto"/>
          <w:sz w:val="24"/>
          <w:szCs w:val="24"/>
          <w:highlight w:val="none"/>
          <w:u w:val="single"/>
        </w:rPr>
        <w:t>（企业名称)</w:t>
      </w:r>
      <w:r>
        <w:rPr>
          <w:color w:val="auto"/>
          <w:sz w:val="24"/>
          <w:szCs w:val="24"/>
          <w:highlight w:val="none"/>
        </w:rPr>
        <w:t>，从业人员_____人，营业收入为______万元，资产总额为_____万元'，属于</w:t>
      </w:r>
      <w:r>
        <w:rPr>
          <w:i/>
          <w:color w:val="auto"/>
          <w:sz w:val="24"/>
          <w:szCs w:val="24"/>
          <w:highlight w:val="none"/>
          <w:u w:val="single"/>
        </w:rPr>
        <w:t>（中型企业、小型企业、微型企业)</w:t>
      </w:r>
      <w:r>
        <w:rPr>
          <w:rFonts w:hint="eastAsia"/>
          <w:color w:val="auto"/>
          <w:sz w:val="24"/>
          <w:szCs w:val="24"/>
          <w:highlight w:val="none"/>
        </w:rPr>
        <w:t>；</w:t>
      </w:r>
    </w:p>
    <w:p w14:paraId="75585414">
      <w:pPr>
        <w:spacing w:line="360" w:lineRule="auto"/>
        <w:ind w:firstLine="480" w:firstLineChars="200"/>
        <w:rPr>
          <w:color w:val="auto"/>
          <w:sz w:val="24"/>
          <w:szCs w:val="24"/>
          <w:highlight w:val="none"/>
        </w:rPr>
      </w:pPr>
      <w:r>
        <w:rPr>
          <w:color w:val="auto"/>
          <w:sz w:val="24"/>
          <w:szCs w:val="24"/>
          <w:highlight w:val="none"/>
        </w:rPr>
        <w:t>2.</w:t>
      </w:r>
      <w:r>
        <w:rPr>
          <w:i/>
          <w:color w:val="auto"/>
          <w:sz w:val="24"/>
          <w:szCs w:val="24"/>
          <w:highlight w:val="none"/>
          <w:u w:val="single"/>
        </w:rPr>
        <w:t xml:space="preserve"> （标的名称）</w:t>
      </w:r>
      <w:r>
        <w:rPr>
          <w:color w:val="auto"/>
          <w:sz w:val="24"/>
          <w:szCs w:val="24"/>
          <w:highlight w:val="none"/>
        </w:rPr>
        <w:t>，属于</w:t>
      </w:r>
      <w:r>
        <w:rPr>
          <w:i/>
          <w:color w:val="auto"/>
          <w:sz w:val="24"/>
          <w:szCs w:val="24"/>
          <w:highlight w:val="none"/>
          <w:u w:val="single"/>
        </w:rPr>
        <w:t>（采购文件中明确的所属行业）</w:t>
      </w:r>
      <w:r>
        <w:rPr>
          <w:i/>
          <w:color w:val="auto"/>
          <w:sz w:val="24"/>
          <w:szCs w:val="24"/>
          <w:highlight w:val="none"/>
        </w:rPr>
        <w:t>行业</w:t>
      </w:r>
      <w:r>
        <w:rPr>
          <w:rFonts w:hint="eastAsia"/>
          <w:i/>
          <w:color w:val="auto"/>
          <w:sz w:val="24"/>
          <w:szCs w:val="24"/>
          <w:highlight w:val="none"/>
          <w:lang w:eastAsia="zh-CN"/>
        </w:rPr>
        <w:t>；</w:t>
      </w:r>
      <w:r>
        <w:rPr>
          <w:color w:val="auto"/>
          <w:sz w:val="24"/>
          <w:szCs w:val="24"/>
          <w:highlight w:val="none"/>
        </w:rPr>
        <w:t>制造商为</w:t>
      </w:r>
      <w:r>
        <w:rPr>
          <w:i/>
          <w:color w:val="auto"/>
          <w:sz w:val="24"/>
          <w:szCs w:val="24"/>
          <w:highlight w:val="none"/>
          <w:u w:val="single"/>
        </w:rPr>
        <w:t>（企业名称)</w:t>
      </w:r>
      <w:r>
        <w:rPr>
          <w:color w:val="auto"/>
          <w:sz w:val="24"/>
          <w:szCs w:val="24"/>
          <w:highlight w:val="none"/>
        </w:rPr>
        <w:t>，从业人员_____人，营业收入为______万元，资产总额为_____万元'，属于</w:t>
      </w:r>
      <w:r>
        <w:rPr>
          <w:i/>
          <w:color w:val="auto"/>
          <w:sz w:val="24"/>
          <w:szCs w:val="24"/>
          <w:highlight w:val="none"/>
          <w:u w:val="single"/>
        </w:rPr>
        <w:t>（中型企业、小型企业、微型企业)</w:t>
      </w:r>
      <w:r>
        <w:rPr>
          <w:rFonts w:hint="eastAsia"/>
          <w:color w:val="auto"/>
          <w:sz w:val="24"/>
          <w:szCs w:val="24"/>
          <w:highlight w:val="none"/>
        </w:rPr>
        <w:t>；</w:t>
      </w:r>
    </w:p>
    <w:p w14:paraId="05D948DA">
      <w:pPr>
        <w:spacing w:line="360" w:lineRule="auto"/>
        <w:ind w:firstLine="482" w:firstLineChars="200"/>
        <w:rPr>
          <w:b/>
          <w:color w:val="auto"/>
          <w:sz w:val="24"/>
          <w:szCs w:val="24"/>
          <w:highlight w:val="none"/>
        </w:rPr>
      </w:pPr>
      <w:r>
        <w:rPr>
          <w:b/>
          <w:color w:val="auto"/>
          <w:sz w:val="24"/>
          <w:szCs w:val="24"/>
          <w:highlight w:val="none"/>
        </w:rPr>
        <w:t>……</w:t>
      </w:r>
    </w:p>
    <w:p w14:paraId="55C6CA81">
      <w:pPr>
        <w:spacing w:line="360" w:lineRule="auto"/>
        <w:ind w:firstLine="480" w:firstLineChars="200"/>
        <w:rPr>
          <w:color w:val="auto"/>
          <w:sz w:val="24"/>
          <w:szCs w:val="24"/>
          <w:highlight w:val="none"/>
        </w:rPr>
      </w:pPr>
      <w:r>
        <w:rPr>
          <w:rFonts w:hint="eastAsia"/>
          <w:color w:val="auto"/>
          <w:sz w:val="24"/>
          <w:szCs w:val="24"/>
          <w:highlight w:val="none"/>
        </w:rPr>
        <w:t>以上企业，不属于大企业的分支机构，不存在控股股东为大企业的情形，也不存在与大企业的负责人为同一人的情形。</w:t>
      </w:r>
    </w:p>
    <w:p w14:paraId="4679AA99">
      <w:pPr>
        <w:spacing w:line="360" w:lineRule="auto"/>
        <w:ind w:firstLine="480" w:firstLineChars="200"/>
        <w:rPr>
          <w:color w:val="auto"/>
          <w:sz w:val="24"/>
          <w:szCs w:val="24"/>
          <w:highlight w:val="none"/>
        </w:rPr>
      </w:pPr>
      <w:r>
        <w:rPr>
          <w:rFonts w:hint="eastAsia"/>
          <w:color w:val="auto"/>
          <w:sz w:val="24"/>
          <w:szCs w:val="24"/>
          <w:highlight w:val="none"/>
        </w:rPr>
        <w:t>本企业对上述声明内容的真实性负责。如有虚假，将依法承担相应责任。</w:t>
      </w:r>
    </w:p>
    <w:p w14:paraId="1E09654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color w:val="auto"/>
          <w:highlight w:val="none"/>
          <w:lang w:eastAsia="zh-CN"/>
        </w:rPr>
      </w:pPr>
    </w:p>
    <w:p w14:paraId="25967B82">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E681E7D">
      <w:pPr>
        <w:spacing w:line="360" w:lineRule="auto"/>
        <w:ind w:firstLine="3600" w:firstLineChars="1500"/>
        <w:rPr>
          <w:rFonts w:hint="eastAsia" w:ascii="宋体" w:hAnsi="宋体" w:eastAsia="宋体"/>
          <w:color w:val="auto"/>
          <w:sz w:val="24"/>
          <w:highlight w:val="none"/>
        </w:rPr>
      </w:pPr>
    </w:p>
    <w:p w14:paraId="018AF3BB">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368FEA1">
      <w:pPr>
        <w:tabs>
          <w:tab w:val="left" w:pos="4620"/>
        </w:tabs>
        <w:spacing w:line="360" w:lineRule="auto"/>
        <w:jc w:val="left"/>
        <w:rPr>
          <w:rFonts w:asciiTheme="minorEastAsia" w:hAnsiTheme="minorEastAsia" w:eastAsiaTheme="minorEastAsia"/>
          <w:b/>
          <w:color w:val="auto"/>
          <w:szCs w:val="24"/>
          <w:highlight w:val="none"/>
        </w:rPr>
      </w:pPr>
      <w:r>
        <w:rPr>
          <w:rFonts w:hint="eastAsia" w:asciiTheme="minorEastAsia" w:hAnsiTheme="minorEastAsia" w:eastAsiaTheme="minorEastAsia"/>
          <w:b/>
          <w:color w:val="auto"/>
          <w:szCs w:val="24"/>
          <w:highlight w:val="none"/>
        </w:rPr>
        <w:t>备注：</w:t>
      </w:r>
    </w:p>
    <w:p w14:paraId="2CDCAFE3">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14:paraId="5B3DB61E">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2.</w:t>
      </w:r>
      <w:r>
        <w:rPr>
          <w:rFonts w:hint="eastAsia" w:asciiTheme="minorEastAsia" w:hAnsiTheme="minorEastAsia" w:eastAsiaTheme="minorEastAsia"/>
          <w:color w:val="auto"/>
          <w:szCs w:val="24"/>
          <w:highlight w:val="none"/>
          <w:lang w:val="en-US" w:eastAsia="zh-CN"/>
        </w:rPr>
        <w:t>供应商应根据《政府采购促进中小企业发展管理办法》（财库﹝2020﹞46 号）和《关于印发中小企业划型标准规定的通知》(工信部联企业〔2011〕300 号)相关规定，如实填写中小企业声明函。如有虚假，将依法承担相应责任。供应商可自行登录工业和信息化部官网进行中小企业规模类型自测（查询网址 https://www.miit.gov.cn/）。</w:t>
      </w:r>
    </w:p>
    <w:p w14:paraId="57395B95">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3.如</w:t>
      </w:r>
      <w:r>
        <w:rPr>
          <w:rFonts w:hint="eastAsia" w:asciiTheme="minorEastAsia" w:hAnsiTheme="minorEastAsia" w:eastAsiaTheme="minorEastAsia"/>
          <w:color w:val="auto"/>
          <w:szCs w:val="24"/>
          <w:highlight w:val="none"/>
          <w:lang w:val="en-US" w:eastAsia="zh-CN"/>
        </w:rPr>
        <w:t>供应商</w:t>
      </w:r>
      <w:r>
        <w:rPr>
          <w:rFonts w:asciiTheme="minorEastAsia" w:hAnsiTheme="minorEastAsia" w:eastAsiaTheme="minorEastAsia"/>
          <w:color w:val="auto"/>
          <w:szCs w:val="24"/>
          <w:highlight w:val="none"/>
        </w:rPr>
        <w:t>提供的《中小企业声明函》内容不实，属于“隐瞒真实情况，提供虚假资料”情形的，将依照有关规定追究相应责任。</w:t>
      </w:r>
    </w:p>
    <w:p w14:paraId="077B6710">
      <w:pPr>
        <w:adjustRightInd w:val="0"/>
        <w:snapToGrid w:val="0"/>
        <w:spacing w:line="360" w:lineRule="auto"/>
        <w:rPr>
          <w:rFonts w:ascii="宋体" w:hAnsi="宋体"/>
          <w:color w:val="auto"/>
          <w:sz w:val="28"/>
          <w:szCs w:val="22"/>
          <w:highlight w:val="none"/>
        </w:rPr>
      </w:pPr>
    </w:p>
    <w:p w14:paraId="0D25BB1E">
      <w:pPr>
        <w:pStyle w:val="8"/>
        <w:shd w:val="clear" w:color="auto" w:fill="FFFFFF"/>
        <w:tabs>
          <w:tab w:val="left" w:pos="2730"/>
        </w:tabs>
        <w:jc w:val="center"/>
        <w:rPr>
          <w:rFonts w:hint="eastAsia"/>
          <w:color w:val="auto"/>
          <w:sz w:val="28"/>
          <w:szCs w:val="28"/>
          <w:highlight w:val="none"/>
          <w:lang w:val="en-US" w:eastAsia="zh-CN"/>
        </w:rPr>
      </w:pPr>
      <w:bookmarkStart w:id="253" w:name="_Toc9439"/>
      <w:r>
        <w:rPr>
          <w:rFonts w:hint="eastAsia"/>
          <w:color w:val="auto"/>
          <w:sz w:val="28"/>
          <w:szCs w:val="28"/>
          <w:highlight w:val="none"/>
          <w:lang w:val="en-US" w:eastAsia="zh-CN"/>
        </w:rPr>
        <w:t>八、残疾人福利性单位声明函</w:t>
      </w:r>
      <w:bookmarkEnd w:id="253"/>
    </w:p>
    <w:p w14:paraId="40981D44">
      <w:pPr>
        <w:spacing w:after="134" w:line="259" w:lineRule="auto"/>
        <w:ind w:left="297" w:hanging="10"/>
        <w:jc w:val="center"/>
        <w:rPr>
          <w:color w:val="auto"/>
          <w:highlight w:val="none"/>
        </w:rPr>
      </w:pPr>
      <w:r>
        <w:rPr>
          <w:color w:val="auto"/>
          <w:sz w:val="25"/>
          <w:highlight w:val="none"/>
        </w:rPr>
        <w:t xml:space="preserve">（非残疾人福利性单位，不需此件） </w:t>
      </w:r>
      <w:r>
        <w:rPr>
          <w:color w:val="auto"/>
          <w:highlight w:val="none"/>
        </w:rPr>
        <w:t xml:space="preserve"> </w:t>
      </w:r>
    </w:p>
    <w:p w14:paraId="0F465B8E">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本单位郑重声明，根据《财政部 民政部 中国残疾人联合会关于促进残疾人就业政府采购政策的通知》（财库〔2017〕141号）的规定，本单位为□ 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勾选）条件的残疾人福利性单位，且本单位参加本项目采购活动提供本单位制造的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，或者提供其他□符合□不符合（对应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勾选）残疾人福利性单位制造的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（不包括使用非残疾人福利性单位注册商标的货物）。</w:t>
      </w:r>
    </w:p>
    <w:p w14:paraId="0190D5B4">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 xml:space="preserve">本单位对上述声明的真实性负责。如有虚假，将依法承担相应责任。 </w:t>
      </w:r>
    </w:p>
    <w:p w14:paraId="5878611F">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7B3F0445">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5080D534">
      <w:pPr>
        <w:spacing w:line="360" w:lineRule="auto"/>
        <w:ind w:firstLine="3600" w:firstLineChars="1500"/>
        <w:rPr>
          <w:rFonts w:hint="eastAsia" w:ascii="宋体" w:hAnsi="宋体" w:eastAsia="宋体"/>
          <w:color w:val="auto"/>
          <w:sz w:val="24"/>
          <w:highlight w:val="none"/>
        </w:rPr>
      </w:pPr>
    </w:p>
    <w:p w14:paraId="7032840B">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6CB1D4A">
      <w:pPr>
        <w:spacing w:after="152" w:line="259" w:lineRule="auto"/>
        <w:ind w:left="11"/>
        <w:rPr>
          <w:color w:val="auto"/>
          <w:highlight w:val="none"/>
        </w:rPr>
      </w:pPr>
      <w:r>
        <w:rPr>
          <w:color w:val="auto"/>
          <w:highlight w:val="none"/>
        </w:rPr>
        <w:t xml:space="preserve"> </w:t>
      </w:r>
    </w:p>
    <w:p w14:paraId="7A6AE688">
      <w:pPr>
        <w:spacing w:after="222"/>
        <w:ind w:left="19" w:right="2"/>
        <w:rPr>
          <w:color w:val="auto"/>
          <w:highlight w:val="none"/>
        </w:rPr>
      </w:pPr>
      <w:r>
        <w:rPr>
          <w:color w:val="auto"/>
          <w:highlight w:val="none"/>
        </w:rPr>
        <w:t xml:space="preserve">备注： </w:t>
      </w:r>
    </w:p>
    <w:p w14:paraId="019FE1F4">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20D1E3D2">
      <w:pPr>
        <w:ind w:right="480"/>
        <w:jc w:val="center"/>
        <w:rPr>
          <w:rFonts w:ascii="仿宋" w:hAnsi="仿宋" w:eastAsia="仿宋" w:cs="仿宋"/>
          <w:b/>
          <w:bCs/>
          <w:color w:val="auto"/>
          <w:sz w:val="24"/>
          <w:highlight w:val="none"/>
        </w:rPr>
      </w:pPr>
    </w:p>
    <w:p w14:paraId="5EEB3860">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14:paraId="69F4AE90">
      <w:pPr>
        <w:ind w:right="480"/>
        <w:jc w:val="right"/>
        <w:rPr>
          <w:rFonts w:ascii="仿宋" w:hAnsi="仿宋" w:eastAsia="仿宋" w:cs="仿宋"/>
          <w:b/>
          <w:bCs/>
          <w:color w:val="auto"/>
          <w:sz w:val="24"/>
          <w:highlight w:val="none"/>
        </w:rPr>
      </w:pPr>
    </w:p>
    <w:p w14:paraId="4DAC124F">
      <w:pPr>
        <w:pStyle w:val="8"/>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九、供应商声明函</w:t>
      </w:r>
    </w:p>
    <w:p w14:paraId="2AFFA4C4">
      <w:pPr>
        <w:keepNext w:val="0"/>
        <w:keepLines w:val="0"/>
        <w:widowControl/>
        <w:suppressLineNumbers w:val="0"/>
        <w:spacing w:line="720" w:lineRule="auto"/>
        <w:jc w:val="center"/>
        <w:rPr>
          <w:color w:val="auto"/>
          <w:highlight w:val="none"/>
        </w:rPr>
      </w:pPr>
      <w:r>
        <w:rPr>
          <w:rFonts w:hint="default" w:ascii="ËÎÌå" w:hAnsi="ËÎÌå" w:eastAsia="ËÎÌå" w:cs="ËÎÌå"/>
          <w:b/>
          <w:bCs/>
          <w:i/>
          <w:iCs/>
          <w:color w:val="auto"/>
          <w:kern w:val="0"/>
          <w:sz w:val="24"/>
          <w:szCs w:val="24"/>
          <w:highlight w:val="none"/>
          <w:lang w:val="en-US" w:eastAsia="zh-CN" w:bidi="ar"/>
        </w:rPr>
        <w:t>(</w:t>
      </w:r>
      <w:r>
        <w:rPr>
          <w:rFonts w:hint="default" w:ascii="䅂䍄䕅⯋컌" w:hAnsi="䅂䍄䕅⯋컌" w:eastAsia="䅂䍄䕅⯋컌" w:cs="䅂䍄䕅⯋컌"/>
          <w:b/>
          <w:bCs/>
          <w:i/>
          <w:iCs/>
          <w:color w:val="auto"/>
          <w:kern w:val="0"/>
          <w:sz w:val="24"/>
          <w:szCs w:val="24"/>
          <w:highlight w:val="none"/>
          <w:lang w:val="en-US" w:eastAsia="zh-CN" w:bidi="ar"/>
        </w:rPr>
        <w:t>联合体参加</w:t>
      </w:r>
      <w:r>
        <w:rPr>
          <w:rFonts w:hint="eastAsia" w:ascii="䅂䍄䕅⯋컌" w:hAnsi="䅂䍄䕅⯋컌" w:eastAsia="䅂䍄䕅⯋컌" w:cs="䅂䍄䕅⯋컌"/>
          <w:b/>
          <w:bCs/>
          <w:i/>
          <w:iCs/>
          <w:color w:val="auto"/>
          <w:kern w:val="0"/>
          <w:sz w:val="24"/>
          <w:szCs w:val="24"/>
          <w:highlight w:val="none"/>
          <w:lang w:val="en-US" w:eastAsia="zh-CN" w:bidi="ar"/>
        </w:rPr>
        <w:t>谈判</w:t>
      </w:r>
      <w:r>
        <w:rPr>
          <w:rFonts w:hint="default" w:ascii="䅂䍄䕅⯋컌" w:hAnsi="䅂䍄䕅⯋컌" w:eastAsia="䅂䍄䕅⯋컌" w:cs="䅂䍄䕅⯋컌"/>
          <w:b/>
          <w:bCs/>
          <w:i/>
          <w:iCs/>
          <w:color w:val="auto"/>
          <w:kern w:val="0"/>
          <w:sz w:val="24"/>
          <w:szCs w:val="24"/>
          <w:highlight w:val="none"/>
          <w:lang w:val="en-US" w:eastAsia="zh-CN" w:bidi="ar"/>
        </w:rPr>
        <w:t>的，联合体双方均须提供）</w:t>
      </w:r>
    </w:p>
    <w:p w14:paraId="3991D42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根据《中华人民共和国政府采购法》及《中华人民共和国政府采购法实施条例》 的规定，</w:t>
      </w:r>
    </w:p>
    <w:p w14:paraId="2328F92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1、本单位郑重声明：我单位完全符合《中华人民共和国政府采购法》第二十二条规定及本项目所要求的资格条件：              </w:t>
      </w:r>
    </w:p>
    <w:p w14:paraId="6851008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（1）具有独立承担民事责任的能力；                                          </w:t>
      </w:r>
    </w:p>
    <w:p w14:paraId="1385EB4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（2）具有良好的商业信誉和健全的财务会计制度；                              </w:t>
      </w:r>
    </w:p>
    <w:p w14:paraId="4003604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（3）具有履行合同所必需的设备和专业技术能力；                              </w:t>
      </w:r>
    </w:p>
    <w:p w14:paraId="584CD6E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（4）有依法缴纳税收和社会保障资金的良好记录；                              </w:t>
      </w:r>
    </w:p>
    <w:p w14:paraId="49126C6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（5）参加政府采购活动前三年内，在经营活动中没有重大违法记录，包括：我单位因违法经营受到刑事处罚或者责令停产停业、吊销许可证或者执照、较大数额罚款等行政处罚；   </w:t>
      </w:r>
    </w:p>
    <w:p w14:paraId="165FFDC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（6）我单位不在财政部门依法作出的禁止参加政府采购活动的行政处罚期限内；                       </w:t>
      </w:r>
    </w:p>
    <w:p w14:paraId="5488941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（7）符合法律、行政法规规定的其他条件。</w:t>
      </w:r>
    </w:p>
    <w:p w14:paraId="1B0468C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2、本单位郑重声明，我单位无以下不良信用记录情形：</w:t>
      </w:r>
    </w:p>
    <w:p w14:paraId="2208579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（1）被人民法院列入失信被执行人；</w:t>
      </w:r>
    </w:p>
    <w:p w14:paraId="0E1CBC1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2</w:t>
      </w:r>
      <w:r>
        <w:rPr>
          <w:rFonts w:hint="eastAsia" w:asciiTheme="minorEastAsia" w:hAnsiTheme="minorEastAsia" w:eastAsiaTheme="minorEastAsia" w:cstheme="minorEastAsia"/>
          <w:color w:val="auto"/>
          <w:kern w:val="0"/>
          <w:sz w:val="24"/>
          <w:szCs w:val="24"/>
          <w:highlight w:val="none"/>
          <w:lang w:val="en-US" w:eastAsia="zh-CN" w:bidi="ar"/>
        </w:rPr>
        <w:t>）被市场监督管理部门列入企业经营异常名录；</w:t>
      </w:r>
    </w:p>
    <w:p w14:paraId="0E2B9C67">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val="en-US" w:eastAsia="zh-CN" w:bidi="ar"/>
        </w:rPr>
        <w:t>）被税务部门列入重大税收违法失信主体；</w:t>
      </w:r>
    </w:p>
    <w:p w14:paraId="0DF6BA0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4</w:t>
      </w:r>
      <w:r>
        <w:rPr>
          <w:rFonts w:hint="eastAsia" w:asciiTheme="minorEastAsia" w:hAnsiTheme="minorEastAsia" w:eastAsiaTheme="minorEastAsia" w:cstheme="minorEastAsia"/>
          <w:color w:val="auto"/>
          <w:kern w:val="0"/>
          <w:sz w:val="24"/>
          <w:szCs w:val="24"/>
          <w:highlight w:val="none"/>
          <w:lang w:val="en-US" w:eastAsia="zh-CN" w:bidi="ar"/>
        </w:rPr>
        <w:t xml:space="preserve">）被政府采购监管部门列入政府采购严重违法失信行为记录名单。                        </w:t>
      </w:r>
    </w:p>
    <w:p w14:paraId="27AE2CD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本单位对上述声明的真实性负责。如有虚假，将依法承担相应责任。</w:t>
      </w:r>
    </w:p>
    <w:p w14:paraId="4B74D2CE">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C8EDBC9">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3A1527A6">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00FACE36">
      <w:pPr>
        <w:spacing w:line="360" w:lineRule="auto"/>
        <w:ind w:firstLine="3600" w:firstLineChars="1500"/>
        <w:rPr>
          <w:rFonts w:hint="eastAsia" w:ascii="宋体" w:hAnsi="宋体" w:eastAsia="宋体"/>
          <w:color w:val="auto"/>
          <w:sz w:val="24"/>
          <w:highlight w:val="none"/>
        </w:rPr>
      </w:pPr>
    </w:p>
    <w:p w14:paraId="3D0BA3BB">
      <w:pPr>
        <w:spacing w:line="360" w:lineRule="auto"/>
        <w:ind w:firstLine="3600" w:firstLineChars="1500"/>
        <w:rPr>
          <w:rFonts w:hint="eastAsia"/>
          <w:color w:val="auto"/>
          <w:sz w:val="28"/>
          <w:szCs w:val="28"/>
          <w:highlight w:val="none"/>
          <w:lang w:val="en-US" w:eastAsia="zh-CN"/>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B78C4D6">
      <w:pPr>
        <w:pStyle w:val="8"/>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十、联合体协议</w:t>
      </w:r>
    </w:p>
    <w:p w14:paraId="48A08201">
      <w:pPr>
        <w:pStyle w:val="37"/>
        <w:keepNext w:val="0"/>
        <w:keepLines w:val="0"/>
        <w:pageBreakBefore w:val="0"/>
        <w:widowControl w:val="0"/>
        <w:kinsoku/>
        <w:wordWrap/>
        <w:overflowPunct/>
        <w:topLinePunct w:val="0"/>
        <w:autoSpaceDE/>
        <w:autoSpaceDN/>
        <w:bidi w:val="0"/>
        <w:adjustRightInd w:val="0"/>
        <w:snapToGrid/>
        <w:spacing w:line="440" w:lineRule="exact"/>
        <w:textAlignment w:val="auto"/>
        <w:rPr>
          <w:rFonts w:asciiTheme="minorEastAsia" w:hAnsiTheme="minorEastAsia" w:eastAsiaTheme="minorEastAsia"/>
          <w:color w:val="auto"/>
          <w:sz w:val="24"/>
          <w:highlight w:val="none"/>
        </w:rPr>
      </w:pPr>
      <w:r>
        <w:rPr>
          <w:rFonts w:hint="eastAsia" w:ascii="宋体" w:hAnsi="宋体" w:eastAsia="宋体"/>
          <w:b w:val="0"/>
          <w:i/>
          <w:color w:val="auto"/>
          <w:sz w:val="24"/>
          <w:highlight w:val="none"/>
        </w:rPr>
        <w:t>（不允许联合体参加谈判或未组成联合体的，不需此件；允许联合体参加谈判且供应商为联合体参加谈判的，请将此件加盖公章后制成扫描件）</w:t>
      </w:r>
    </w:p>
    <w:p w14:paraId="59DE8B96">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CCB0AE9">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A1A551E">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73DBF0A7">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上述各成员单位经过友好协商，自愿组成</w:t>
      </w:r>
      <w:r>
        <w:rPr>
          <w:rFonts w:asciiTheme="minorEastAsia" w:hAnsiTheme="minorEastAsia" w:eastAsiaTheme="minorEastAsia"/>
          <w:color w:val="auto"/>
          <w:sz w:val="24"/>
          <w:highlight w:val="none"/>
        </w:rPr>
        <w:t>联合体，共同参加</w:t>
      </w:r>
      <w:r>
        <w:rPr>
          <w:rFonts w:hint="eastAsia" w:asciiTheme="minorEastAsia" w:hAnsiTheme="minorEastAsia" w:eastAsiaTheme="minorEastAsia"/>
          <w:color w:val="auto"/>
          <w:sz w:val="24"/>
          <w:highlight w:val="none"/>
        </w:rPr>
        <w:t>本项目的谈判，</w:t>
      </w:r>
      <w:r>
        <w:rPr>
          <w:rFonts w:asciiTheme="minorEastAsia" w:hAnsiTheme="minorEastAsia" w:eastAsiaTheme="minorEastAsia"/>
          <w:color w:val="auto"/>
          <w:sz w:val="24"/>
          <w:highlight w:val="none"/>
        </w:rPr>
        <w:t>现就联合体参加谈判事宜订立如下协议：</w:t>
      </w:r>
    </w:p>
    <w:p w14:paraId="62E70DF8">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（某成员单位名称）为联合体牵头人。</w:t>
      </w:r>
    </w:p>
    <w:p w14:paraId="053E0338">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在本项目谈判阶段，联合体牵头人负责谈判项目的一切组织、协调工作，并授权代理人以联合体的名义参加项目的谈判，代理人在谈判、合同签订过程中所签署的一切文件和处理与本次谈判有关的一切事务，联合体各方均予以承认并承担法律责任。联合体成交后，联合体各方共同与采购人签订合同，就本项目对采购人承担连带责任。</w:t>
      </w:r>
    </w:p>
    <w:p w14:paraId="60EE1508">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.联合体各成员单位内部的职责分工</w:t>
      </w:r>
      <w:r>
        <w:rPr>
          <w:rFonts w:hint="eastAsia" w:asciiTheme="minorEastAsia" w:hAnsiTheme="minorEastAsia" w:eastAsiaTheme="minorEastAsia"/>
          <w:color w:val="auto"/>
          <w:sz w:val="24"/>
          <w:highlight w:val="none"/>
        </w:rPr>
        <w:t>及各方负责内容的合同金额占总合同金额的百分比</w:t>
      </w:r>
      <w:r>
        <w:rPr>
          <w:rFonts w:asciiTheme="minorEastAsia" w:hAnsiTheme="minorEastAsia" w:eastAsiaTheme="minorEastAsia"/>
          <w:color w:val="auto"/>
          <w:sz w:val="24"/>
          <w:highlight w:val="none"/>
        </w:rPr>
        <w:t>如下：</w:t>
      </w:r>
    </w:p>
    <w:p w14:paraId="19DF01CA">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03A59DF5">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35E667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5838D438">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工作和联合体在</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w:t>
      </w:r>
      <w:r>
        <w:rPr>
          <w:rFonts w:hint="eastAsia" w:asciiTheme="minorEastAsia" w:hAnsiTheme="minorEastAsia" w:eastAsiaTheme="minorEastAsia"/>
          <w:color w:val="auto"/>
          <w:sz w:val="24"/>
          <w:highlight w:val="none"/>
        </w:rPr>
        <w:t>项目</w:t>
      </w:r>
      <w:r>
        <w:rPr>
          <w:rFonts w:asciiTheme="minorEastAsia" w:hAnsiTheme="minorEastAsia" w:eastAsiaTheme="minorEastAsia"/>
          <w:color w:val="auto"/>
          <w:sz w:val="24"/>
          <w:highlight w:val="none"/>
        </w:rPr>
        <w:t>实施过程中的有关费用按各自承担的工作量分摊。</w:t>
      </w:r>
    </w:p>
    <w:p w14:paraId="33D51CA2">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5．联合体</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后，本联合协议是合同的附件，对联合体各成员单位有合同约束力。</w:t>
      </w:r>
    </w:p>
    <w:p w14:paraId="1DF4276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6．本协议书自签署之日起生效，联合体未</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或者合同履行完毕后自动失效。</w:t>
      </w:r>
    </w:p>
    <w:p w14:paraId="45D839B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联合体成员一：</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4C8D9DE4">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68031146">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联合体成员二：</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522A62C0">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5480B166">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p w14:paraId="6376F05C">
      <w:pPr>
        <w:keepNext w:val="0"/>
        <w:keepLines w:val="0"/>
        <w:pageBreakBefore w:val="0"/>
        <w:widowControl w:val="0"/>
        <w:kinsoku/>
        <w:wordWrap/>
        <w:overflowPunct/>
        <w:topLinePunct w:val="0"/>
        <w:autoSpaceDE/>
        <w:autoSpaceDN/>
        <w:bidi w:val="0"/>
        <w:adjustRightInd w:val="0"/>
        <w:snapToGrid/>
        <w:spacing w:line="440" w:lineRule="exact"/>
        <w:ind w:firstLine="5529" w:firstLineChars="2304"/>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7E32B30D">
      <w:pPr>
        <w:pStyle w:val="8"/>
        <w:shd w:val="clear" w:color="auto" w:fill="FFFFFF"/>
        <w:tabs>
          <w:tab w:val="left" w:pos="2730"/>
        </w:tabs>
        <w:jc w:val="both"/>
        <w:rPr>
          <w:rFonts w:hint="eastAsia"/>
          <w:color w:val="auto"/>
          <w:sz w:val="28"/>
          <w:szCs w:val="28"/>
          <w:highlight w:val="none"/>
          <w:lang w:val="en-US" w:eastAsia="zh-CN"/>
        </w:rPr>
        <w:sectPr>
          <w:footerReference r:id="rId10" w:type="default"/>
          <w:pgSz w:w="11906" w:h="16838"/>
          <w:pgMar w:top="1418" w:right="1418" w:bottom="1276" w:left="1418" w:header="680" w:footer="680" w:gutter="0"/>
          <w:pgNumType w:fmt="decimal"/>
          <w:cols w:space="720" w:num="1"/>
          <w:docGrid w:type="lines" w:linePitch="312" w:charSpace="0"/>
        </w:sectPr>
      </w:pPr>
      <w:bookmarkStart w:id="254" w:name="_Toc22272"/>
      <w:bookmarkStart w:id="255" w:name="_Toc26186"/>
    </w:p>
    <w:p w14:paraId="35B1ECF8">
      <w:pPr>
        <w:pStyle w:val="8"/>
        <w:numPr>
          <w:ilvl w:val="0"/>
          <w:numId w:val="0"/>
        </w:numPr>
        <w:shd w:val="clear" w:color="auto" w:fill="FFFFFF"/>
        <w:tabs>
          <w:tab w:val="left" w:pos="2730"/>
        </w:tabs>
        <w:ind w:left="420" w:leftChars="0"/>
        <w:jc w:val="center"/>
        <w:rPr>
          <w:rFonts w:hint="eastAsia"/>
          <w:color w:val="auto"/>
          <w:sz w:val="28"/>
          <w:szCs w:val="28"/>
          <w:highlight w:val="none"/>
          <w:lang w:val="en-US" w:eastAsia="zh-CN"/>
        </w:rPr>
      </w:pPr>
      <w:r>
        <w:rPr>
          <w:rFonts w:hint="eastAsia"/>
          <w:color w:val="auto"/>
          <w:sz w:val="28"/>
          <w:szCs w:val="28"/>
          <w:highlight w:val="none"/>
          <w:lang w:val="en-US" w:eastAsia="zh-CN"/>
        </w:rPr>
        <w:t>十一、证明</w:t>
      </w:r>
      <w:bookmarkEnd w:id="254"/>
      <w:bookmarkEnd w:id="255"/>
      <w:r>
        <w:rPr>
          <w:rFonts w:hint="eastAsia"/>
          <w:color w:val="auto"/>
          <w:sz w:val="28"/>
          <w:szCs w:val="28"/>
          <w:highlight w:val="none"/>
          <w:lang w:val="en-US" w:eastAsia="zh-CN"/>
        </w:rPr>
        <w:t>资料</w:t>
      </w:r>
    </w:p>
    <w:p w14:paraId="5024FB94">
      <w:pPr>
        <w:numPr>
          <w:ilvl w:val="0"/>
          <w:numId w:val="0"/>
        </w:numPr>
        <w:ind w:left="420" w:leftChars="0"/>
        <w:rPr>
          <w:rFonts w:hint="eastAsia"/>
          <w:color w:val="auto"/>
          <w:highlight w:val="none"/>
          <w:lang w:val="en-US" w:eastAsia="zh-CN"/>
        </w:rPr>
      </w:pPr>
    </w:p>
    <w:p w14:paraId="678D3425">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14:paraId="158D51EA">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14:paraId="68A11611">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14:paraId="59EB63C5">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14:paraId="4C9F1A6C">
      <w:pPr>
        <w:widowControl/>
        <w:jc w:val="left"/>
        <w:rPr>
          <w:rFonts w:ascii="宋体" w:hAnsi="宋体"/>
          <w:color w:val="auto"/>
          <w:szCs w:val="21"/>
          <w:highlight w:val="none"/>
        </w:rPr>
      </w:pPr>
      <w:r>
        <w:rPr>
          <w:rFonts w:ascii="宋体" w:hAnsi="宋体"/>
          <w:color w:val="auto"/>
          <w:szCs w:val="21"/>
          <w:highlight w:val="none"/>
        </w:rPr>
        <w:br w:type="page"/>
      </w:r>
    </w:p>
    <w:p w14:paraId="70C1C4D3">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14:paraId="495FA999">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14:paraId="4A3DBA61">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22842BC3">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48A1F0CB">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4934E511">
      <w:pPr>
        <w:spacing w:line="360" w:lineRule="auto"/>
        <w:rPr>
          <w:rFonts w:asciiTheme="minorEastAsia" w:hAnsiTheme="minorEastAsia" w:eastAsiaTheme="minorEastAsia"/>
          <w:color w:val="auto"/>
          <w:sz w:val="24"/>
          <w:highlight w:val="none"/>
        </w:rPr>
      </w:pPr>
    </w:p>
    <w:p w14:paraId="4B982D58">
      <w:pPr>
        <w:spacing w:line="360" w:lineRule="auto"/>
        <w:ind w:firstLine="435"/>
        <w:rPr>
          <w:rFonts w:asciiTheme="minorEastAsia" w:hAnsiTheme="minorEastAsia" w:eastAsiaTheme="minorEastAsia"/>
          <w:color w:val="auto"/>
          <w:sz w:val="24"/>
          <w:highlight w:val="none"/>
        </w:rPr>
      </w:pPr>
    </w:p>
    <w:p w14:paraId="4D50D24D">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4201B683">
      <w:pPr>
        <w:spacing w:line="360" w:lineRule="auto"/>
        <w:ind w:firstLine="435"/>
        <w:rPr>
          <w:rFonts w:hAnsi="宋体"/>
          <w:color w:val="auto"/>
          <w:sz w:val="24"/>
          <w:szCs w:val="28"/>
          <w:highlight w:val="none"/>
          <w:lang w:val="zh-CN"/>
        </w:rPr>
      </w:pPr>
    </w:p>
    <w:p w14:paraId="75D2B9D5">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3279671D">
      <w:pPr>
        <w:spacing w:line="360" w:lineRule="auto"/>
        <w:rPr>
          <w:rFonts w:ascii="宋体" w:hAnsi="宋体"/>
          <w:color w:val="auto"/>
          <w:sz w:val="24"/>
          <w:szCs w:val="28"/>
          <w:highlight w:val="none"/>
        </w:rPr>
      </w:pPr>
    </w:p>
    <w:p w14:paraId="1EFEF0E8">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B72FD0E">
      <w:pPr>
        <w:spacing w:line="360" w:lineRule="auto"/>
        <w:ind w:firstLine="3600" w:firstLineChars="1500"/>
        <w:rPr>
          <w:rFonts w:hint="eastAsia" w:ascii="宋体" w:hAnsi="宋体" w:eastAsia="宋体"/>
          <w:color w:val="auto"/>
          <w:sz w:val="24"/>
          <w:highlight w:val="none"/>
        </w:rPr>
      </w:pPr>
    </w:p>
    <w:p w14:paraId="0DFA5994">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BDBE904">
      <w:pPr>
        <w:spacing w:line="360" w:lineRule="auto"/>
        <w:ind w:firstLine="435"/>
        <w:rPr>
          <w:rFonts w:asciiTheme="minorEastAsia" w:hAnsiTheme="minorEastAsia" w:eastAsiaTheme="minorEastAsia"/>
          <w:color w:val="auto"/>
          <w:sz w:val="24"/>
          <w:highlight w:val="none"/>
        </w:rPr>
      </w:pPr>
    </w:p>
    <w:p w14:paraId="1BD0DD2E">
      <w:pPr>
        <w:rPr>
          <w:rFonts w:asciiTheme="minorEastAsia" w:hAnsiTheme="minorEastAsia" w:eastAsiaTheme="minorEastAsia"/>
          <w:color w:val="auto"/>
          <w:sz w:val="24"/>
          <w:highlight w:val="none"/>
        </w:rPr>
      </w:pPr>
    </w:p>
    <w:p w14:paraId="07663E87">
      <w:pPr>
        <w:pStyle w:val="8"/>
        <w:tabs>
          <w:tab w:val="left" w:pos="2730"/>
        </w:tabs>
        <w:rPr>
          <w:rFonts w:asciiTheme="minorEastAsia" w:hAnsiTheme="minorEastAsia" w:eastAsiaTheme="minorEastAsia"/>
          <w:color w:val="auto"/>
          <w:sz w:val="24"/>
          <w:highlight w:val="none"/>
        </w:rPr>
      </w:pPr>
    </w:p>
    <w:p w14:paraId="40AEE3ED">
      <w:pPr>
        <w:rPr>
          <w:color w:val="auto"/>
          <w:highlight w:val="none"/>
        </w:rPr>
      </w:pPr>
    </w:p>
    <w:p w14:paraId="5E48D290">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14:paraId="04573511">
      <w:pPr>
        <w:spacing w:line="360" w:lineRule="auto"/>
        <w:ind w:firstLine="435"/>
        <w:rPr>
          <w:rFonts w:hint="eastAsia" w:asciiTheme="minorEastAsia" w:hAnsiTheme="minorEastAsia" w:eastAsiaTheme="minorEastAsia"/>
          <w:color w:val="auto"/>
          <w:sz w:val="24"/>
          <w:highlight w:val="none"/>
        </w:rPr>
        <w:sectPr>
          <w:pgSz w:w="11906" w:h="16838"/>
          <w:pgMar w:top="1418" w:right="1418" w:bottom="1276" w:left="1418" w:header="680" w:footer="680" w:gutter="0"/>
          <w:pgNumType w:fmt="decimal"/>
          <w:cols w:space="720" w:num="1"/>
          <w:docGrid w:type="lines" w:linePitch="312" w:charSpace="0"/>
        </w:sectPr>
      </w:pPr>
    </w:p>
    <w:p w14:paraId="23A7DBE0">
      <w:pPr>
        <w:pStyle w:val="2"/>
        <w:numPr>
          <w:ilvl w:val="0"/>
          <w:numId w:val="0"/>
        </w:numPr>
        <w:ind w:firstLine="320" w:firstLineChars="100"/>
        <w:jc w:val="center"/>
        <w:rPr>
          <w:color w:val="auto"/>
          <w:highlight w:val="none"/>
        </w:rPr>
      </w:pPr>
      <w:bookmarkStart w:id="256" w:name="_Toc12703"/>
      <w:bookmarkStart w:id="257" w:name="_Toc2700"/>
      <w:bookmarkStart w:id="258" w:name="_Toc8573"/>
      <w:bookmarkStart w:id="259" w:name="_Toc32741"/>
      <w:r>
        <w:rPr>
          <w:rFonts w:hint="eastAsia"/>
          <w:color w:val="auto"/>
          <w:highlight w:val="none"/>
          <w:lang w:val="en-US" w:eastAsia="zh-CN"/>
        </w:rPr>
        <w:t xml:space="preserve">第七章  </w:t>
      </w:r>
      <w:r>
        <w:rPr>
          <w:rFonts w:hint="eastAsia"/>
          <w:color w:val="auto"/>
          <w:highlight w:val="none"/>
        </w:rPr>
        <w:t>政府采购供应商质疑函范本</w:t>
      </w:r>
      <w:bookmarkEnd w:id="256"/>
      <w:bookmarkEnd w:id="257"/>
      <w:bookmarkEnd w:id="258"/>
      <w:bookmarkEnd w:id="259"/>
    </w:p>
    <w:p w14:paraId="23185815">
      <w:pPr>
        <w:keepNext w:val="0"/>
        <w:keepLines w:val="0"/>
        <w:pageBreakBefore w:val="0"/>
        <w:kinsoku/>
        <w:wordWrap/>
        <w:overflowPunct/>
        <w:topLinePunct w:val="0"/>
        <w:autoSpaceDE/>
        <w:autoSpaceDN/>
        <w:bidi w:val="0"/>
        <w:spacing w:line="360" w:lineRule="exact"/>
        <w:ind w:firstLine="643" w:firstLineChars="200"/>
        <w:jc w:val="center"/>
        <w:textAlignment w:val="auto"/>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172E95E5">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1B87D068">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39C0CC2C">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4263A7D0">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2AC9D8A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5A36B70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4941DA60">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77BF63A9">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794137B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3FF4F971">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1ABEF76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63E15B98">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63E2447D">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62C3637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4025EA23">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3D434F2E">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0A84D9F7">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284C2831">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6D60E371">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78DB8EDA">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4B8F84C1">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5B254A32">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3E02CB9C">
      <w:pPr>
        <w:keepNext w:val="0"/>
        <w:keepLines w:val="0"/>
        <w:pageBreakBefore w:val="0"/>
        <w:widowControl/>
        <w:kinsoku/>
        <w:wordWrap/>
        <w:overflowPunct/>
        <w:topLinePunct w:val="0"/>
        <w:autoSpaceDE/>
        <w:autoSpaceDN/>
        <w:bidi w:val="0"/>
        <w:spacing w:line="360" w:lineRule="exact"/>
        <w:ind w:firstLine="281" w:firstLineChars="100"/>
        <w:jc w:val="left"/>
        <w:textAlignment w:val="auto"/>
        <w:rPr>
          <w:rFonts w:hint="eastAsia" w:asciiTheme="minorEastAsia" w:hAnsiTheme="minorEastAsia" w:eastAsiaTheme="minorEastAsia"/>
          <w:b/>
          <w:color w:val="auto"/>
          <w:sz w:val="28"/>
          <w:szCs w:val="32"/>
          <w:highlight w:val="none"/>
        </w:rPr>
      </w:pPr>
    </w:p>
    <w:p w14:paraId="7D6E2CD0">
      <w:pPr>
        <w:keepNext w:val="0"/>
        <w:keepLines w:val="0"/>
        <w:pageBreakBefore w:val="0"/>
        <w:widowControl/>
        <w:kinsoku/>
        <w:wordWrap/>
        <w:overflowPunct/>
        <w:topLinePunct w:val="0"/>
        <w:autoSpaceDE/>
        <w:autoSpaceDN/>
        <w:bidi w:val="0"/>
        <w:spacing w:line="360" w:lineRule="exact"/>
        <w:ind w:firstLine="562" w:firstLineChars="200"/>
        <w:jc w:val="left"/>
        <w:textAlignment w:val="auto"/>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5B74A1BD">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042B5BCE">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491052B9">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131EC542">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78DA36EE">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07DCA48F">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sectPr>
      <w:footerReference r:id="rId11" w:type="default"/>
      <w:pgSz w:w="11906" w:h="16838"/>
      <w:pgMar w:top="1440" w:right="1486" w:bottom="1440" w:left="1800" w:header="454" w:footer="680"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Wingdings-Regular">
    <w:altName w:val="Times New Roman"/>
    <w:panose1 w:val="00000000000000000000"/>
    <w:charset w:val="00"/>
    <w:family w:val="roman"/>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28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ËÎÌå">
    <w:altName w:val="Times New Roman"/>
    <w:panose1 w:val="00000000000000000000"/>
    <w:charset w:val="00"/>
    <w:family w:val="auto"/>
    <w:pitch w:val="default"/>
    <w:sig w:usb0="00000000" w:usb1="00000000" w:usb2="00000000" w:usb3="00000000" w:csb0="00000000" w:csb1="00000000"/>
  </w:font>
  <w:font w:name="䅂䍄䕅⯋컌">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4B3C5F">
    <w:pPr>
      <w:pStyle w:val="27"/>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78DC2C6">
                          <w:pPr>
                            <w:pStyle w:val="2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v:fill on="f" focussize="0,0"/>
              <v:stroke on="f" weight="0.5pt"/>
              <v:imagedata o:title=""/>
              <o:lock v:ext="edit" aspectratio="f"/>
              <v:textbox inset="0mm,0mm,0mm,0mm" style="mso-fit-shape-to-text:t;">
                <w:txbxContent>
                  <w:p w14:paraId="078DC2C6">
                    <w:pPr>
                      <w:pStyle w:val="2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C61B32">
    <w:pPr>
      <w:pStyle w:val="27"/>
      <w:jc w:val="center"/>
      <w:rPr>
        <w:rFonts w:ascii="宋体"/>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0B3AF7">
                          <w:pPr>
                            <w:pStyle w:val="2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580B3AF7">
                    <w:pPr>
                      <w:pStyle w:val="27"/>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CB6D47">
    <w:pPr>
      <w:pStyle w:val="27"/>
      <w:pBdr>
        <w:top w:val="single" w:color="auto" w:sz="4" w:space="1"/>
      </w:pBd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ACB944F">
                          <w:pPr>
                            <w:pStyle w:val="27"/>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6ACB944F">
                    <w:pPr>
                      <w:pStyle w:val="27"/>
                    </w:pPr>
                    <w:r>
                      <w:fldChar w:fldCharType="begin"/>
                    </w:r>
                    <w:r>
                      <w:instrText xml:space="preserve"> PAGE  \* MERGEFORMAT </w:instrText>
                    </w:r>
                    <w:r>
                      <w:fldChar w:fldCharType="separate"/>
                    </w:r>
                    <w:r>
                      <w:t>12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CDAFFC">
    <w:pPr>
      <w:pStyle w:val="27"/>
      <w:pBdr>
        <w:top w:val="single" w:color="auto" w:sz="4" w:space="1"/>
      </w:pBdr>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F9EF66">
                          <w:pPr>
                            <w:pStyle w:val="27"/>
                          </w:pPr>
                          <w:r>
                            <w:fldChar w:fldCharType="begin"/>
                          </w:r>
                          <w:r>
                            <w:instrText xml:space="preserve"> PAGE  \* MERGEFORMAT </w:instrText>
                          </w:r>
                          <w:r>
                            <w:fldChar w:fldCharType="separate"/>
                          </w:r>
                          <w:r>
                            <w:t>32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1FF9EF66">
                    <w:pPr>
                      <w:pStyle w:val="27"/>
                    </w:pPr>
                    <w:r>
                      <w:fldChar w:fldCharType="begin"/>
                    </w:r>
                    <w:r>
                      <w:instrText xml:space="preserve"> PAGE  \* MERGEFORMAT </w:instrText>
                    </w:r>
                    <w:r>
                      <w:fldChar w:fldCharType="separate"/>
                    </w:r>
                    <w:r>
                      <w:t>32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BA5261">
    <w:pPr>
      <w:pStyle w:val="27"/>
      <w:pBdr>
        <w:top w:val="single" w:color="auto" w:sz="4" w:space="1"/>
      </w:pBd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4364FB">
                          <w:pPr>
                            <w:pStyle w:val="27"/>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044364FB">
                    <w:pPr>
                      <w:pStyle w:val="27"/>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4DF4AA">
    <w:pPr>
      <w:pStyle w:val="27"/>
      <w:pBdr>
        <w:top w:val="single" w:color="auto" w:sz="4" w:space="1"/>
      </w:pBdr>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3B599E8">
                          <w:pPr>
                            <w:pStyle w:val="27"/>
                          </w:pPr>
                          <w:r>
                            <w:fldChar w:fldCharType="begin"/>
                          </w:r>
                          <w:r>
                            <w:instrText xml:space="preserve"> PAGE  \* MERGEFORMAT </w:instrText>
                          </w:r>
                          <w:r>
                            <w:fldChar w:fldCharType="separate"/>
                          </w:r>
                          <w:r>
                            <w:t>40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43B599E8">
                    <w:pPr>
                      <w:pStyle w:val="27"/>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173D8C">
    <w:pPr>
      <w:pStyle w:val="27"/>
      <w:jc w:val="center"/>
      <w:rPr>
        <w:sz w:val="17"/>
        <w:szCs w:val="17"/>
      </w:rPr>
    </w:pPr>
    <w:r>
      <w:rPr>
        <w:rFonts w:hint="eastAsia" w:ascii="宋体" w:hAnsi="宋体" w:eastAsia="宋体"/>
        <w:sz w:val="17"/>
        <w:szCs w:val="17"/>
      </w:rPr>
      <w:t>第</w:t>
    </w:r>
    <w:r>
      <w:rPr>
        <w:rFonts w:ascii="宋体" w:hAnsi="宋体" w:eastAsia="宋体"/>
        <w:sz w:val="17"/>
        <w:szCs w:val="17"/>
      </w:rPr>
      <w:fldChar w:fldCharType="begin"/>
    </w:r>
    <w:r>
      <w:rPr>
        <w:rFonts w:ascii="宋体" w:hAnsi="宋体" w:eastAsia="宋体"/>
        <w:sz w:val="17"/>
        <w:szCs w:val="17"/>
      </w:rPr>
      <w:instrText xml:space="preserve">PAGE   \* MERGEFORMAT</w:instrText>
    </w:r>
    <w:r>
      <w:rPr>
        <w:rFonts w:ascii="宋体" w:hAnsi="宋体" w:eastAsia="宋体"/>
        <w:sz w:val="17"/>
        <w:szCs w:val="17"/>
      </w:rPr>
      <w:fldChar w:fldCharType="separate"/>
    </w:r>
    <w:r>
      <w:rPr>
        <w:rFonts w:ascii="宋体" w:hAnsi="宋体" w:eastAsia="宋体"/>
        <w:sz w:val="17"/>
        <w:szCs w:val="17"/>
        <w:lang w:val="zh-CN"/>
      </w:rPr>
      <w:t>6</w:t>
    </w:r>
    <w:r>
      <w:rPr>
        <w:rFonts w:ascii="宋体" w:hAnsi="宋体" w:eastAsia="宋体"/>
        <w:sz w:val="17"/>
        <w:szCs w:val="17"/>
      </w:rPr>
      <w:fldChar w:fldCharType="end"/>
    </w:r>
    <w:r>
      <w:rPr>
        <w:rFonts w:hint="eastAsia" w:ascii="宋体" w:hAnsi="宋体" w:eastAsia="宋体"/>
        <w:sz w:val="17"/>
        <w:szCs w:val="17"/>
      </w:rPr>
      <w:t>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17C7A63"/>
    <w:multiLevelType w:val="singleLevel"/>
    <w:tmpl w:val="B17C7A63"/>
    <w:lvl w:ilvl="0" w:tentative="0">
      <w:start w:val="2"/>
      <w:numFmt w:val="chineseCounting"/>
      <w:suff w:val="nothing"/>
      <w:lvlText w:val="%1、"/>
      <w:lvlJc w:val="left"/>
      <w:rPr>
        <w:rFonts w:hint="eastAsia"/>
      </w:rPr>
    </w:lvl>
  </w:abstractNum>
  <w:abstractNum w:abstractNumId="1">
    <w:nsid w:val="C6D2B839"/>
    <w:multiLevelType w:val="singleLevel"/>
    <w:tmpl w:val="C6D2B839"/>
    <w:lvl w:ilvl="0" w:tentative="0">
      <w:start w:val="7"/>
      <w:numFmt w:val="chineseCounting"/>
      <w:suff w:val="nothing"/>
      <w:lvlText w:val="%1、"/>
      <w:lvlJc w:val="left"/>
      <w:rPr>
        <w:rFonts w:hint="eastAsia"/>
      </w:rPr>
    </w:lvl>
  </w:abstractNum>
  <w:abstractNum w:abstractNumId="2">
    <w:nsid w:val="F39B171B"/>
    <w:multiLevelType w:val="singleLevel"/>
    <w:tmpl w:val="F39B171B"/>
    <w:lvl w:ilvl="0" w:tentative="0">
      <w:start w:val="1"/>
      <w:numFmt w:val="decimal"/>
      <w:suff w:val="nothing"/>
      <w:lvlText w:val="%1、"/>
      <w:lvlJc w:val="left"/>
    </w:lvl>
  </w:abstractNum>
  <w:abstractNum w:abstractNumId="3">
    <w:nsid w:val="00000018"/>
    <w:multiLevelType w:val="singleLevel"/>
    <w:tmpl w:val="00000018"/>
    <w:lvl w:ilvl="0" w:tentative="0">
      <w:start w:val="4"/>
      <w:numFmt w:val="chineseCounting"/>
      <w:suff w:val="nothing"/>
      <w:lvlText w:val="%1、"/>
      <w:lvlJc w:val="left"/>
      <w:rPr>
        <w:rFonts w:cs="Times New Roman"/>
      </w:rPr>
    </w:lvl>
  </w:abstractNum>
  <w:abstractNum w:abstractNumId="4">
    <w:nsid w:val="40D1395F"/>
    <w:multiLevelType w:val="singleLevel"/>
    <w:tmpl w:val="40D1395F"/>
    <w:lvl w:ilvl="0" w:tentative="0">
      <w:start w:val="2"/>
      <w:numFmt w:val="decimal"/>
      <w:suff w:val="nothing"/>
      <w:lvlText w:val="%1、"/>
      <w:lvlJc w:val="left"/>
    </w:lvl>
  </w:abstractNum>
  <w:abstractNum w:abstractNumId="5">
    <w:nsid w:val="7AAB2737"/>
    <w:multiLevelType w:val="singleLevel"/>
    <w:tmpl w:val="7AAB2737"/>
    <w:lvl w:ilvl="0" w:tentative="0">
      <w:start w:val="2"/>
      <w:numFmt w:val="chineseCounting"/>
      <w:suff w:val="nothing"/>
      <w:lvlText w:val="%1、"/>
      <w:lvlJc w:val="left"/>
      <w:rPr>
        <w:rFonts w:hint="eastAsia"/>
      </w:rPr>
    </w:lvl>
  </w:abstractNum>
  <w:abstractNum w:abstractNumId="6">
    <w:nsid w:val="7F8EED0D"/>
    <w:multiLevelType w:val="singleLevel"/>
    <w:tmpl w:val="7F8EED0D"/>
    <w:lvl w:ilvl="0" w:tentative="0">
      <w:start w:val="37"/>
      <w:numFmt w:val="decimal"/>
      <w:suff w:val="nothing"/>
      <w:lvlText w:val="%1、"/>
      <w:lvlJc w:val="left"/>
    </w:lvl>
  </w:abstractNum>
  <w:num w:numId="1">
    <w:abstractNumId w:val="1"/>
  </w:num>
  <w:num w:numId="2">
    <w:abstractNumId w:val="2"/>
  </w:num>
  <w:num w:numId="3">
    <w:abstractNumId w:val="6"/>
  </w:num>
  <w:num w:numId="4">
    <w:abstractNumId w:val="0"/>
  </w:num>
  <w:num w:numId="5">
    <w:abstractNumId w:val="5"/>
  </w:num>
  <w:num w:numId="6">
    <w:abstractNumId w:val="4"/>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EA16A9"/>
    <w:rsid w:val="00003D9F"/>
    <w:rsid w:val="00013E8C"/>
    <w:rsid w:val="00015CFD"/>
    <w:rsid w:val="00016C93"/>
    <w:rsid w:val="000219D3"/>
    <w:rsid w:val="00031E09"/>
    <w:rsid w:val="00032409"/>
    <w:rsid w:val="00032FC2"/>
    <w:rsid w:val="0003630F"/>
    <w:rsid w:val="0004381B"/>
    <w:rsid w:val="00046FE7"/>
    <w:rsid w:val="00052213"/>
    <w:rsid w:val="00053BFF"/>
    <w:rsid w:val="00054675"/>
    <w:rsid w:val="000549D2"/>
    <w:rsid w:val="000577E1"/>
    <w:rsid w:val="000602E0"/>
    <w:rsid w:val="00061A4D"/>
    <w:rsid w:val="000625C0"/>
    <w:rsid w:val="000725CE"/>
    <w:rsid w:val="00076CC8"/>
    <w:rsid w:val="00081261"/>
    <w:rsid w:val="00081D62"/>
    <w:rsid w:val="00081F82"/>
    <w:rsid w:val="00082193"/>
    <w:rsid w:val="00082F6E"/>
    <w:rsid w:val="00083247"/>
    <w:rsid w:val="00085A29"/>
    <w:rsid w:val="00087B7D"/>
    <w:rsid w:val="00094168"/>
    <w:rsid w:val="00094553"/>
    <w:rsid w:val="00096AC2"/>
    <w:rsid w:val="00097368"/>
    <w:rsid w:val="000A4760"/>
    <w:rsid w:val="000A516B"/>
    <w:rsid w:val="000A6591"/>
    <w:rsid w:val="000A768B"/>
    <w:rsid w:val="000A7C40"/>
    <w:rsid w:val="000B42DA"/>
    <w:rsid w:val="000B7B51"/>
    <w:rsid w:val="000C18CF"/>
    <w:rsid w:val="000C3C34"/>
    <w:rsid w:val="000C51AA"/>
    <w:rsid w:val="000C6C52"/>
    <w:rsid w:val="000D05E8"/>
    <w:rsid w:val="000D3095"/>
    <w:rsid w:val="000D319D"/>
    <w:rsid w:val="000D50F4"/>
    <w:rsid w:val="000D76D6"/>
    <w:rsid w:val="000E0118"/>
    <w:rsid w:val="000E2790"/>
    <w:rsid w:val="000E4655"/>
    <w:rsid w:val="000E596C"/>
    <w:rsid w:val="000F43B5"/>
    <w:rsid w:val="000F6DE0"/>
    <w:rsid w:val="000F7E7B"/>
    <w:rsid w:val="00100182"/>
    <w:rsid w:val="001005F4"/>
    <w:rsid w:val="001023A4"/>
    <w:rsid w:val="00102D0F"/>
    <w:rsid w:val="00104B47"/>
    <w:rsid w:val="00110E23"/>
    <w:rsid w:val="00111430"/>
    <w:rsid w:val="00111B2D"/>
    <w:rsid w:val="00114F4D"/>
    <w:rsid w:val="00116531"/>
    <w:rsid w:val="001267B0"/>
    <w:rsid w:val="0012781F"/>
    <w:rsid w:val="00130647"/>
    <w:rsid w:val="0013189C"/>
    <w:rsid w:val="00140727"/>
    <w:rsid w:val="0014643C"/>
    <w:rsid w:val="0014671C"/>
    <w:rsid w:val="00150863"/>
    <w:rsid w:val="00150FBA"/>
    <w:rsid w:val="00152457"/>
    <w:rsid w:val="00153E07"/>
    <w:rsid w:val="0015522D"/>
    <w:rsid w:val="00163279"/>
    <w:rsid w:val="001632A9"/>
    <w:rsid w:val="0016490B"/>
    <w:rsid w:val="001655F5"/>
    <w:rsid w:val="00171E9B"/>
    <w:rsid w:val="00175727"/>
    <w:rsid w:val="00175EE5"/>
    <w:rsid w:val="00176150"/>
    <w:rsid w:val="001800AF"/>
    <w:rsid w:val="00181014"/>
    <w:rsid w:val="001825F3"/>
    <w:rsid w:val="00184CBD"/>
    <w:rsid w:val="00187044"/>
    <w:rsid w:val="00187D22"/>
    <w:rsid w:val="00190391"/>
    <w:rsid w:val="00192343"/>
    <w:rsid w:val="00194E89"/>
    <w:rsid w:val="00196F90"/>
    <w:rsid w:val="0019722D"/>
    <w:rsid w:val="001A3F30"/>
    <w:rsid w:val="001A5E1C"/>
    <w:rsid w:val="001A7339"/>
    <w:rsid w:val="001C0B04"/>
    <w:rsid w:val="001C2815"/>
    <w:rsid w:val="001C3DFF"/>
    <w:rsid w:val="001C4109"/>
    <w:rsid w:val="001D4814"/>
    <w:rsid w:val="001D599F"/>
    <w:rsid w:val="001D6D61"/>
    <w:rsid w:val="001E12EF"/>
    <w:rsid w:val="001E3640"/>
    <w:rsid w:val="001E4A8B"/>
    <w:rsid w:val="001E7081"/>
    <w:rsid w:val="001F0557"/>
    <w:rsid w:val="001F2EFB"/>
    <w:rsid w:val="001F39B9"/>
    <w:rsid w:val="001F5EEA"/>
    <w:rsid w:val="001F6ED6"/>
    <w:rsid w:val="00200FD7"/>
    <w:rsid w:val="00202DB6"/>
    <w:rsid w:val="00203470"/>
    <w:rsid w:val="00215208"/>
    <w:rsid w:val="00216072"/>
    <w:rsid w:val="002224C5"/>
    <w:rsid w:val="002233EE"/>
    <w:rsid w:val="00224399"/>
    <w:rsid w:val="00224A59"/>
    <w:rsid w:val="00224C5B"/>
    <w:rsid w:val="00235FFA"/>
    <w:rsid w:val="00241FE5"/>
    <w:rsid w:val="00243E21"/>
    <w:rsid w:val="00244B85"/>
    <w:rsid w:val="00247DE0"/>
    <w:rsid w:val="00253B43"/>
    <w:rsid w:val="00255387"/>
    <w:rsid w:val="002556BC"/>
    <w:rsid w:val="00255ADE"/>
    <w:rsid w:val="002616A0"/>
    <w:rsid w:val="00263FE2"/>
    <w:rsid w:val="00274616"/>
    <w:rsid w:val="00275811"/>
    <w:rsid w:val="002758E7"/>
    <w:rsid w:val="00275EDD"/>
    <w:rsid w:val="00280B25"/>
    <w:rsid w:val="00283E29"/>
    <w:rsid w:val="00285776"/>
    <w:rsid w:val="00287428"/>
    <w:rsid w:val="00293416"/>
    <w:rsid w:val="0029591D"/>
    <w:rsid w:val="002A0850"/>
    <w:rsid w:val="002A3476"/>
    <w:rsid w:val="002A4557"/>
    <w:rsid w:val="002A68CE"/>
    <w:rsid w:val="002A77B9"/>
    <w:rsid w:val="002A7DD0"/>
    <w:rsid w:val="002B0FE7"/>
    <w:rsid w:val="002C0252"/>
    <w:rsid w:val="002C2DD8"/>
    <w:rsid w:val="002C40CD"/>
    <w:rsid w:val="002D18D3"/>
    <w:rsid w:val="002D221C"/>
    <w:rsid w:val="002D2265"/>
    <w:rsid w:val="002D2A45"/>
    <w:rsid w:val="002D4C52"/>
    <w:rsid w:val="002D52FA"/>
    <w:rsid w:val="002D7797"/>
    <w:rsid w:val="002E1F77"/>
    <w:rsid w:val="002E2B29"/>
    <w:rsid w:val="002E2D10"/>
    <w:rsid w:val="002E5A7E"/>
    <w:rsid w:val="002F4902"/>
    <w:rsid w:val="003050F5"/>
    <w:rsid w:val="00311952"/>
    <w:rsid w:val="00311E9B"/>
    <w:rsid w:val="0031466A"/>
    <w:rsid w:val="00314D4B"/>
    <w:rsid w:val="0031558C"/>
    <w:rsid w:val="00316204"/>
    <w:rsid w:val="003215BF"/>
    <w:rsid w:val="00324FD3"/>
    <w:rsid w:val="00325B81"/>
    <w:rsid w:val="00326701"/>
    <w:rsid w:val="0033761B"/>
    <w:rsid w:val="00340140"/>
    <w:rsid w:val="00340800"/>
    <w:rsid w:val="00342A33"/>
    <w:rsid w:val="00345CF8"/>
    <w:rsid w:val="00345DD2"/>
    <w:rsid w:val="00346E0A"/>
    <w:rsid w:val="0035135B"/>
    <w:rsid w:val="00352BF4"/>
    <w:rsid w:val="00353ADC"/>
    <w:rsid w:val="0035465F"/>
    <w:rsid w:val="00354706"/>
    <w:rsid w:val="0035622C"/>
    <w:rsid w:val="00356579"/>
    <w:rsid w:val="00357930"/>
    <w:rsid w:val="003609A3"/>
    <w:rsid w:val="003639CA"/>
    <w:rsid w:val="00364223"/>
    <w:rsid w:val="00364581"/>
    <w:rsid w:val="0036551A"/>
    <w:rsid w:val="003678E9"/>
    <w:rsid w:val="003702F1"/>
    <w:rsid w:val="003721B3"/>
    <w:rsid w:val="00374E64"/>
    <w:rsid w:val="00375584"/>
    <w:rsid w:val="003804F5"/>
    <w:rsid w:val="00381A2B"/>
    <w:rsid w:val="00381CC8"/>
    <w:rsid w:val="0038257F"/>
    <w:rsid w:val="00383B66"/>
    <w:rsid w:val="0038660C"/>
    <w:rsid w:val="00390232"/>
    <w:rsid w:val="003940B7"/>
    <w:rsid w:val="003950A1"/>
    <w:rsid w:val="00396F92"/>
    <w:rsid w:val="003A4B98"/>
    <w:rsid w:val="003A5024"/>
    <w:rsid w:val="003A5565"/>
    <w:rsid w:val="003B3927"/>
    <w:rsid w:val="003B4A88"/>
    <w:rsid w:val="003B5F95"/>
    <w:rsid w:val="003B6624"/>
    <w:rsid w:val="003B7E0D"/>
    <w:rsid w:val="003C03BD"/>
    <w:rsid w:val="003C0887"/>
    <w:rsid w:val="003C246F"/>
    <w:rsid w:val="003C2D41"/>
    <w:rsid w:val="003C63DF"/>
    <w:rsid w:val="003D5265"/>
    <w:rsid w:val="003D5D8B"/>
    <w:rsid w:val="003D6DDF"/>
    <w:rsid w:val="003E01E0"/>
    <w:rsid w:val="003E0F9B"/>
    <w:rsid w:val="003E1740"/>
    <w:rsid w:val="003E460A"/>
    <w:rsid w:val="003E5618"/>
    <w:rsid w:val="003F060B"/>
    <w:rsid w:val="003F1A46"/>
    <w:rsid w:val="004008A6"/>
    <w:rsid w:val="0040101D"/>
    <w:rsid w:val="00403329"/>
    <w:rsid w:val="004057D2"/>
    <w:rsid w:val="00410D11"/>
    <w:rsid w:val="004139CB"/>
    <w:rsid w:val="004146A6"/>
    <w:rsid w:val="00414B75"/>
    <w:rsid w:val="0042586A"/>
    <w:rsid w:val="004269BB"/>
    <w:rsid w:val="004272D4"/>
    <w:rsid w:val="004310B1"/>
    <w:rsid w:val="0043277A"/>
    <w:rsid w:val="00433706"/>
    <w:rsid w:val="00434595"/>
    <w:rsid w:val="004409CE"/>
    <w:rsid w:val="00441193"/>
    <w:rsid w:val="00441A68"/>
    <w:rsid w:val="00442CA5"/>
    <w:rsid w:val="00443934"/>
    <w:rsid w:val="00452491"/>
    <w:rsid w:val="00453B41"/>
    <w:rsid w:val="004578EA"/>
    <w:rsid w:val="0046099A"/>
    <w:rsid w:val="00465CEE"/>
    <w:rsid w:val="00470047"/>
    <w:rsid w:val="0047284F"/>
    <w:rsid w:val="0047534F"/>
    <w:rsid w:val="0047545B"/>
    <w:rsid w:val="004765A2"/>
    <w:rsid w:val="004778CB"/>
    <w:rsid w:val="004805FD"/>
    <w:rsid w:val="00483041"/>
    <w:rsid w:val="004838AA"/>
    <w:rsid w:val="00483FFE"/>
    <w:rsid w:val="0048641F"/>
    <w:rsid w:val="00487BDF"/>
    <w:rsid w:val="00490295"/>
    <w:rsid w:val="0049061C"/>
    <w:rsid w:val="0049294A"/>
    <w:rsid w:val="00495E32"/>
    <w:rsid w:val="00496AA6"/>
    <w:rsid w:val="004A06C8"/>
    <w:rsid w:val="004A4A7F"/>
    <w:rsid w:val="004A55E5"/>
    <w:rsid w:val="004B0470"/>
    <w:rsid w:val="004B2DBA"/>
    <w:rsid w:val="004B4377"/>
    <w:rsid w:val="004C42AC"/>
    <w:rsid w:val="004C534F"/>
    <w:rsid w:val="004D041A"/>
    <w:rsid w:val="004D0720"/>
    <w:rsid w:val="004D3B1D"/>
    <w:rsid w:val="004D568F"/>
    <w:rsid w:val="004D64FA"/>
    <w:rsid w:val="004D7781"/>
    <w:rsid w:val="004E2A0D"/>
    <w:rsid w:val="004E356A"/>
    <w:rsid w:val="004E4BCC"/>
    <w:rsid w:val="00500566"/>
    <w:rsid w:val="005010E8"/>
    <w:rsid w:val="00516285"/>
    <w:rsid w:val="00517789"/>
    <w:rsid w:val="005208CA"/>
    <w:rsid w:val="00521A8D"/>
    <w:rsid w:val="00522261"/>
    <w:rsid w:val="005222BE"/>
    <w:rsid w:val="0052498B"/>
    <w:rsid w:val="00524DC0"/>
    <w:rsid w:val="00527869"/>
    <w:rsid w:val="005300B3"/>
    <w:rsid w:val="00530286"/>
    <w:rsid w:val="00532772"/>
    <w:rsid w:val="005377E8"/>
    <w:rsid w:val="00542091"/>
    <w:rsid w:val="005434D7"/>
    <w:rsid w:val="005446A4"/>
    <w:rsid w:val="00544DA6"/>
    <w:rsid w:val="00551104"/>
    <w:rsid w:val="005512C9"/>
    <w:rsid w:val="0055199B"/>
    <w:rsid w:val="00554114"/>
    <w:rsid w:val="00554409"/>
    <w:rsid w:val="0055577E"/>
    <w:rsid w:val="00557682"/>
    <w:rsid w:val="00557F20"/>
    <w:rsid w:val="0056060C"/>
    <w:rsid w:val="00560897"/>
    <w:rsid w:val="005644CA"/>
    <w:rsid w:val="005648F3"/>
    <w:rsid w:val="005746B1"/>
    <w:rsid w:val="00575CB9"/>
    <w:rsid w:val="00577C2A"/>
    <w:rsid w:val="00580FE4"/>
    <w:rsid w:val="00581445"/>
    <w:rsid w:val="005828AC"/>
    <w:rsid w:val="00583BF8"/>
    <w:rsid w:val="005865B8"/>
    <w:rsid w:val="00590C45"/>
    <w:rsid w:val="005911CB"/>
    <w:rsid w:val="00591573"/>
    <w:rsid w:val="00594F9A"/>
    <w:rsid w:val="00596680"/>
    <w:rsid w:val="00596B1D"/>
    <w:rsid w:val="005A088C"/>
    <w:rsid w:val="005B07B2"/>
    <w:rsid w:val="005B64C4"/>
    <w:rsid w:val="005B7A63"/>
    <w:rsid w:val="005C4296"/>
    <w:rsid w:val="005C4322"/>
    <w:rsid w:val="005C48EA"/>
    <w:rsid w:val="005C7212"/>
    <w:rsid w:val="005D01BC"/>
    <w:rsid w:val="005D0E19"/>
    <w:rsid w:val="005D1125"/>
    <w:rsid w:val="005D46F3"/>
    <w:rsid w:val="005E17F5"/>
    <w:rsid w:val="005E2932"/>
    <w:rsid w:val="005E61D5"/>
    <w:rsid w:val="005F32C2"/>
    <w:rsid w:val="005F4337"/>
    <w:rsid w:val="005F5FF0"/>
    <w:rsid w:val="0060013D"/>
    <w:rsid w:val="00600B8D"/>
    <w:rsid w:val="00601F0C"/>
    <w:rsid w:val="00605380"/>
    <w:rsid w:val="0060549D"/>
    <w:rsid w:val="00614FBF"/>
    <w:rsid w:val="006158C7"/>
    <w:rsid w:val="0062090B"/>
    <w:rsid w:val="00626195"/>
    <w:rsid w:val="0062698D"/>
    <w:rsid w:val="00630B49"/>
    <w:rsid w:val="006340A1"/>
    <w:rsid w:val="006341CF"/>
    <w:rsid w:val="00635080"/>
    <w:rsid w:val="00635F9E"/>
    <w:rsid w:val="006379E7"/>
    <w:rsid w:val="0064076B"/>
    <w:rsid w:val="00644EF7"/>
    <w:rsid w:val="0064795A"/>
    <w:rsid w:val="006509CC"/>
    <w:rsid w:val="00655AEB"/>
    <w:rsid w:val="006577F3"/>
    <w:rsid w:val="006617CC"/>
    <w:rsid w:val="00664E5B"/>
    <w:rsid w:val="00667F62"/>
    <w:rsid w:val="00673377"/>
    <w:rsid w:val="00677CD1"/>
    <w:rsid w:val="00677E58"/>
    <w:rsid w:val="0068072B"/>
    <w:rsid w:val="006843A0"/>
    <w:rsid w:val="00687757"/>
    <w:rsid w:val="00687B16"/>
    <w:rsid w:val="00687FB9"/>
    <w:rsid w:val="006901AF"/>
    <w:rsid w:val="006914D0"/>
    <w:rsid w:val="006927EC"/>
    <w:rsid w:val="0069451A"/>
    <w:rsid w:val="0069558D"/>
    <w:rsid w:val="00697F98"/>
    <w:rsid w:val="006A228C"/>
    <w:rsid w:val="006A555E"/>
    <w:rsid w:val="006A5C15"/>
    <w:rsid w:val="006A5EC2"/>
    <w:rsid w:val="006A6FE1"/>
    <w:rsid w:val="006B021E"/>
    <w:rsid w:val="006B1A44"/>
    <w:rsid w:val="006B1C73"/>
    <w:rsid w:val="006B29D3"/>
    <w:rsid w:val="006B368F"/>
    <w:rsid w:val="006B3BF4"/>
    <w:rsid w:val="006B48F2"/>
    <w:rsid w:val="006B4F0F"/>
    <w:rsid w:val="006B6E04"/>
    <w:rsid w:val="006C214D"/>
    <w:rsid w:val="006C3CB0"/>
    <w:rsid w:val="006C3EFA"/>
    <w:rsid w:val="006D1BF8"/>
    <w:rsid w:val="006D21E7"/>
    <w:rsid w:val="006D5046"/>
    <w:rsid w:val="006E1C68"/>
    <w:rsid w:val="006E4D64"/>
    <w:rsid w:val="006E5DDB"/>
    <w:rsid w:val="006E6166"/>
    <w:rsid w:val="006F3494"/>
    <w:rsid w:val="006F5E82"/>
    <w:rsid w:val="006F7A7A"/>
    <w:rsid w:val="007007C4"/>
    <w:rsid w:val="00702A8D"/>
    <w:rsid w:val="00703706"/>
    <w:rsid w:val="007040EC"/>
    <w:rsid w:val="00706BAE"/>
    <w:rsid w:val="00706E9F"/>
    <w:rsid w:val="00707CE2"/>
    <w:rsid w:val="007102F5"/>
    <w:rsid w:val="00720C32"/>
    <w:rsid w:val="00721B49"/>
    <w:rsid w:val="007229A7"/>
    <w:rsid w:val="00723A11"/>
    <w:rsid w:val="0072561B"/>
    <w:rsid w:val="00726EFD"/>
    <w:rsid w:val="007270A7"/>
    <w:rsid w:val="007300FA"/>
    <w:rsid w:val="00730DED"/>
    <w:rsid w:val="00730EA4"/>
    <w:rsid w:val="007325A0"/>
    <w:rsid w:val="007326EE"/>
    <w:rsid w:val="007330F9"/>
    <w:rsid w:val="00735956"/>
    <w:rsid w:val="00736270"/>
    <w:rsid w:val="00737799"/>
    <w:rsid w:val="00740CAA"/>
    <w:rsid w:val="00740D1F"/>
    <w:rsid w:val="0074311E"/>
    <w:rsid w:val="00744D38"/>
    <w:rsid w:val="007467A0"/>
    <w:rsid w:val="0075072F"/>
    <w:rsid w:val="00750D56"/>
    <w:rsid w:val="00753824"/>
    <w:rsid w:val="00754F30"/>
    <w:rsid w:val="007552A3"/>
    <w:rsid w:val="00760868"/>
    <w:rsid w:val="00761DB6"/>
    <w:rsid w:val="00763DEE"/>
    <w:rsid w:val="00770F7F"/>
    <w:rsid w:val="00772505"/>
    <w:rsid w:val="00774102"/>
    <w:rsid w:val="00774229"/>
    <w:rsid w:val="007845BD"/>
    <w:rsid w:val="00784E21"/>
    <w:rsid w:val="007851B5"/>
    <w:rsid w:val="00790FCD"/>
    <w:rsid w:val="007933AD"/>
    <w:rsid w:val="00794FD4"/>
    <w:rsid w:val="007A2110"/>
    <w:rsid w:val="007A3235"/>
    <w:rsid w:val="007A3B0D"/>
    <w:rsid w:val="007A53FF"/>
    <w:rsid w:val="007A5FCE"/>
    <w:rsid w:val="007B233D"/>
    <w:rsid w:val="007B734F"/>
    <w:rsid w:val="007B79FE"/>
    <w:rsid w:val="007C1057"/>
    <w:rsid w:val="007C199A"/>
    <w:rsid w:val="007C1C3C"/>
    <w:rsid w:val="007C2A80"/>
    <w:rsid w:val="007C3BA6"/>
    <w:rsid w:val="007C61C1"/>
    <w:rsid w:val="007D32D8"/>
    <w:rsid w:val="007D34F6"/>
    <w:rsid w:val="007D35ED"/>
    <w:rsid w:val="007D5A98"/>
    <w:rsid w:val="007E1B76"/>
    <w:rsid w:val="007E5431"/>
    <w:rsid w:val="007E610B"/>
    <w:rsid w:val="007F0BAA"/>
    <w:rsid w:val="007F3D21"/>
    <w:rsid w:val="007F6D4B"/>
    <w:rsid w:val="007F7A3E"/>
    <w:rsid w:val="008044C3"/>
    <w:rsid w:val="008054AC"/>
    <w:rsid w:val="00807A63"/>
    <w:rsid w:val="00807B43"/>
    <w:rsid w:val="008119DD"/>
    <w:rsid w:val="00816C42"/>
    <w:rsid w:val="00820D89"/>
    <w:rsid w:val="00821166"/>
    <w:rsid w:val="00821B7B"/>
    <w:rsid w:val="00822495"/>
    <w:rsid w:val="00825068"/>
    <w:rsid w:val="00827768"/>
    <w:rsid w:val="00827E65"/>
    <w:rsid w:val="0083142A"/>
    <w:rsid w:val="00831D75"/>
    <w:rsid w:val="00834481"/>
    <w:rsid w:val="00840751"/>
    <w:rsid w:val="00840B7E"/>
    <w:rsid w:val="00841BA4"/>
    <w:rsid w:val="00842B86"/>
    <w:rsid w:val="00845D7D"/>
    <w:rsid w:val="008477EB"/>
    <w:rsid w:val="008479F3"/>
    <w:rsid w:val="00847EE0"/>
    <w:rsid w:val="00855868"/>
    <w:rsid w:val="00857EFB"/>
    <w:rsid w:val="00862475"/>
    <w:rsid w:val="008670A1"/>
    <w:rsid w:val="008714CF"/>
    <w:rsid w:val="00871968"/>
    <w:rsid w:val="00871B6B"/>
    <w:rsid w:val="00872416"/>
    <w:rsid w:val="00873E5D"/>
    <w:rsid w:val="008769E7"/>
    <w:rsid w:val="008772B2"/>
    <w:rsid w:val="00880128"/>
    <w:rsid w:val="008805EF"/>
    <w:rsid w:val="008813C1"/>
    <w:rsid w:val="00881775"/>
    <w:rsid w:val="0088480B"/>
    <w:rsid w:val="00885D63"/>
    <w:rsid w:val="0089245B"/>
    <w:rsid w:val="008925D6"/>
    <w:rsid w:val="00894313"/>
    <w:rsid w:val="00895439"/>
    <w:rsid w:val="008978FA"/>
    <w:rsid w:val="00897F87"/>
    <w:rsid w:val="008A0D35"/>
    <w:rsid w:val="008A228D"/>
    <w:rsid w:val="008A2F9C"/>
    <w:rsid w:val="008A3C42"/>
    <w:rsid w:val="008B0416"/>
    <w:rsid w:val="008B622B"/>
    <w:rsid w:val="008C644F"/>
    <w:rsid w:val="008C7205"/>
    <w:rsid w:val="008D0473"/>
    <w:rsid w:val="008D66FA"/>
    <w:rsid w:val="008D7710"/>
    <w:rsid w:val="008E004A"/>
    <w:rsid w:val="008E1DF5"/>
    <w:rsid w:val="008E2CD0"/>
    <w:rsid w:val="008E2F33"/>
    <w:rsid w:val="008E37D8"/>
    <w:rsid w:val="008E6290"/>
    <w:rsid w:val="008E65AA"/>
    <w:rsid w:val="008F30E7"/>
    <w:rsid w:val="008F6C62"/>
    <w:rsid w:val="00902CBB"/>
    <w:rsid w:val="0090422F"/>
    <w:rsid w:val="00904D75"/>
    <w:rsid w:val="00904E90"/>
    <w:rsid w:val="00905E18"/>
    <w:rsid w:val="009074FE"/>
    <w:rsid w:val="00912B7F"/>
    <w:rsid w:val="00916D7A"/>
    <w:rsid w:val="00920812"/>
    <w:rsid w:val="00924FCE"/>
    <w:rsid w:val="00926B7C"/>
    <w:rsid w:val="00927DF2"/>
    <w:rsid w:val="00930E4C"/>
    <w:rsid w:val="00936A3F"/>
    <w:rsid w:val="0094079B"/>
    <w:rsid w:val="00941FB4"/>
    <w:rsid w:val="009457B1"/>
    <w:rsid w:val="00947274"/>
    <w:rsid w:val="009473C9"/>
    <w:rsid w:val="00950153"/>
    <w:rsid w:val="00952C2C"/>
    <w:rsid w:val="00953C84"/>
    <w:rsid w:val="00960430"/>
    <w:rsid w:val="00971138"/>
    <w:rsid w:val="00972BFC"/>
    <w:rsid w:val="00973282"/>
    <w:rsid w:val="00974191"/>
    <w:rsid w:val="009753C5"/>
    <w:rsid w:val="00992BD9"/>
    <w:rsid w:val="00994068"/>
    <w:rsid w:val="00995369"/>
    <w:rsid w:val="00997707"/>
    <w:rsid w:val="00997ACC"/>
    <w:rsid w:val="009A4429"/>
    <w:rsid w:val="009A4B16"/>
    <w:rsid w:val="009A5EB8"/>
    <w:rsid w:val="009B1583"/>
    <w:rsid w:val="009B2943"/>
    <w:rsid w:val="009B2F4E"/>
    <w:rsid w:val="009B3B28"/>
    <w:rsid w:val="009B5D36"/>
    <w:rsid w:val="009B6CCE"/>
    <w:rsid w:val="009C00CF"/>
    <w:rsid w:val="009C014B"/>
    <w:rsid w:val="009C1FA9"/>
    <w:rsid w:val="009C2124"/>
    <w:rsid w:val="009C2B7F"/>
    <w:rsid w:val="009C4188"/>
    <w:rsid w:val="009C5C97"/>
    <w:rsid w:val="009D0333"/>
    <w:rsid w:val="009D042E"/>
    <w:rsid w:val="009D0585"/>
    <w:rsid w:val="009D0E72"/>
    <w:rsid w:val="009D6272"/>
    <w:rsid w:val="009D6B1B"/>
    <w:rsid w:val="009D7754"/>
    <w:rsid w:val="009E1DFF"/>
    <w:rsid w:val="009E2AC4"/>
    <w:rsid w:val="009E3C2D"/>
    <w:rsid w:val="009E772A"/>
    <w:rsid w:val="009F5BF4"/>
    <w:rsid w:val="009F5E02"/>
    <w:rsid w:val="009F65CB"/>
    <w:rsid w:val="009F6BF5"/>
    <w:rsid w:val="009F6E04"/>
    <w:rsid w:val="009F7F91"/>
    <w:rsid w:val="00A02C2B"/>
    <w:rsid w:val="00A02FDC"/>
    <w:rsid w:val="00A03726"/>
    <w:rsid w:val="00A104B8"/>
    <w:rsid w:val="00A12B46"/>
    <w:rsid w:val="00A16052"/>
    <w:rsid w:val="00A1676C"/>
    <w:rsid w:val="00A26C63"/>
    <w:rsid w:val="00A309AC"/>
    <w:rsid w:val="00A30D97"/>
    <w:rsid w:val="00A3307C"/>
    <w:rsid w:val="00A3743E"/>
    <w:rsid w:val="00A37C5F"/>
    <w:rsid w:val="00A4021A"/>
    <w:rsid w:val="00A40B86"/>
    <w:rsid w:val="00A42F9C"/>
    <w:rsid w:val="00A45B41"/>
    <w:rsid w:val="00A467A1"/>
    <w:rsid w:val="00A472F1"/>
    <w:rsid w:val="00A47B4D"/>
    <w:rsid w:val="00A5123B"/>
    <w:rsid w:val="00A51BD0"/>
    <w:rsid w:val="00A52275"/>
    <w:rsid w:val="00A620F8"/>
    <w:rsid w:val="00A6469D"/>
    <w:rsid w:val="00A71E17"/>
    <w:rsid w:val="00A7216C"/>
    <w:rsid w:val="00A7296C"/>
    <w:rsid w:val="00A72BCA"/>
    <w:rsid w:val="00A73064"/>
    <w:rsid w:val="00A73386"/>
    <w:rsid w:val="00A75072"/>
    <w:rsid w:val="00A756F5"/>
    <w:rsid w:val="00A75A63"/>
    <w:rsid w:val="00A8343F"/>
    <w:rsid w:val="00A84B7F"/>
    <w:rsid w:val="00A85CC9"/>
    <w:rsid w:val="00A8641C"/>
    <w:rsid w:val="00A86E74"/>
    <w:rsid w:val="00A91680"/>
    <w:rsid w:val="00A9722F"/>
    <w:rsid w:val="00AA5366"/>
    <w:rsid w:val="00AA676B"/>
    <w:rsid w:val="00AB0B8B"/>
    <w:rsid w:val="00AB1D1B"/>
    <w:rsid w:val="00AB408B"/>
    <w:rsid w:val="00AB7322"/>
    <w:rsid w:val="00AB77A2"/>
    <w:rsid w:val="00AB7A15"/>
    <w:rsid w:val="00AC4AF1"/>
    <w:rsid w:val="00AC4CB1"/>
    <w:rsid w:val="00AD018C"/>
    <w:rsid w:val="00AD4513"/>
    <w:rsid w:val="00AD637C"/>
    <w:rsid w:val="00AD7DE8"/>
    <w:rsid w:val="00AE0CBC"/>
    <w:rsid w:val="00AE11D9"/>
    <w:rsid w:val="00AE3574"/>
    <w:rsid w:val="00AE37B3"/>
    <w:rsid w:val="00AF14EE"/>
    <w:rsid w:val="00AF33E0"/>
    <w:rsid w:val="00AF3FB1"/>
    <w:rsid w:val="00AF6D2E"/>
    <w:rsid w:val="00AF79BB"/>
    <w:rsid w:val="00B03A8A"/>
    <w:rsid w:val="00B05675"/>
    <w:rsid w:val="00B05C94"/>
    <w:rsid w:val="00B05D58"/>
    <w:rsid w:val="00B07A8C"/>
    <w:rsid w:val="00B118B2"/>
    <w:rsid w:val="00B130AA"/>
    <w:rsid w:val="00B1706E"/>
    <w:rsid w:val="00B172B9"/>
    <w:rsid w:val="00B17F96"/>
    <w:rsid w:val="00B21828"/>
    <w:rsid w:val="00B21A13"/>
    <w:rsid w:val="00B22DEC"/>
    <w:rsid w:val="00B243FA"/>
    <w:rsid w:val="00B347C7"/>
    <w:rsid w:val="00B34DCE"/>
    <w:rsid w:val="00B363BA"/>
    <w:rsid w:val="00B4370A"/>
    <w:rsid w:val="00B45DEF"/>
    <w:rsid w:val="00B47130"/>
    <w:rsid w:val="00B474FF"/>
    <w:rsid w:val="00B51295"/>
    <w:rsid w:val="00B526AD"/>
    <w:rsid w:val="00B54C77"/>
    <w:rsid w:val="00B56406"/>
    <w:rsid w:val="00B56D00"/>
    <w:rsid w:val="00B70277"/>
    <w:rsid w:val="00B7107D"/>
    <w:rsid w:val="00B7166E"/>
    <w:rsid w:val="00B74B29"/>
    <w:rsid w:val="00B75024"/>
    <w:rsid w:val="00B77D86"/>
    <w:rsid w:val="00B93A83"/>
    <w:rsid w:val="00B9576F"/>
    <w:rsid w:val="00B96428"/>
    <w:rsid w:val="00B9700B"/>
    <w:rsid w:val="00B97D29"/>
    <w:rsid w:val="00BA411F"/>
    <w:rsid w:val="00BA46DF"/>
    <w:rsid w:val="00BA5B9D"/>
    <w:rsid w:val="00BB238A"/>
    <w:rsid w:val="00BB2FD2"/>
    <w:rsid w:val="00BB3C7D"/>
    <w:rsid w:val="00BB4BB3"/>
    <w:rsid w:val="00BB5016"/>
    <w:rsid w:val="00BB7D22"/>
    <w:rsid w:val="00BC0E52"/>
    <w:rsid w:val="00BC16EA"/>
    <w:rsid w:val="00BC2F10"/>
    <w:rsid w:val="00BC31CE"/>
    <w:rsid w:val="00BC3DA0"/>
    <w:rsid w:val="00BC4FA4"/>
    <w:rsid w:val="00BC749B"/>
    <w:rsid w:val="00BD0186"/>
    <w:rsid w:val="00BD4197"/>
    <w:rsid w:val="00BD66E2"/>
    <w:rsid w:val="00BD7411"/>
    <w:rsid w:val="00BD7B90"/>
    <w:rsid w:val="00BE0020"/>
    <w:rsid w:val="00BE074E"/>
    <w:rsid w:val="00BE075D"/>
    <w:rsid w:val="00BE0D1C"/>
    <w:rsid w:val="00BE4250"/>
    <w:rsid w:val="00BE5016"/>
    <w:rsid w:val="00BE593E"/>
    <w:rsid w:val="00BE5EE0"/>
    <w:rsid w:val="00BE6C2B"/>
    <w:rsid w:val="00BF43A7"/>
    <w:rsid w:val="00BF446F"/>
    <w:rsid w:val="00BF74AE"/>
    <w:rsid w:val="00C008EA"/>
    <w:rsid w:val="00C009F7"/>
    <w:rsid w:val="00C014B8"/>
    <w:rsid w:val="00C02E98"/>
    <w:rsid w:val="00C04793"/>
    <w:rsid w:val="00C105CA"/>
    <w:rsid w:val="00C10881"/>
    <w:rsid w:val="00C11336"/>
    <w:rsid w:val="00C13559"/>
    <w:rsid w:val="00C13EFB"/>
    <w:rsid w:val="00C141AE"/>
    <w:rsid w:val="00C16B3C"/>
    <w:rsid w:val="00C17005"/>
    <w:rsid w:val="00C20E9E"/>
    <w:rsid w:val="00C22C98"/>
    <w:rsid w:val="00C235A0"/>
    <w:rsid w:val="00C235F7"/>
    <w:rsid w:val="00C23F48"/>
    <w:rsid w:val="00C24446"/>
    <w:rsid w:val="00C248FF"/>
    <w:rsid w:val="00C2506B"/>
    <w:rsid w:val="00C254D6"/>
    <w:rsid w:val="00C25FB5"/>
    <w:rsid w:val="00C319BB"/>
    <w:rsid w:val="00C32FFE"/>
    <w:rsid w:val="00C35AF7"/>
    <w:rsid w:val="00C35F22"/>
    <w:rsid w:val="00C41A91"/>
    <w:rsid w:val="00C46C53"/>
    <w:rsid w:val="00C47BC1"/>
    <w:rsid w:val="00C47CAB"/>
    <w:rsid w:val="00C5161A"/>
    <w:rsid w:val="00C51ECE"/>
    <w:rsid w:val="00C53E29"/>
    <w:rsid w:val="00C54220"/>
    <w:rsid w:val="00C54304"/>
    <w:rsid w:val="00C559DE"/>
    <w:rsid w:val="00C55B5E"/>
    <w:rsid w:val="00C61FC9"/>
    <w:rsid w:val="00C62C08"/>
    <w:rsid w:val="00C62D64"/>
    <w:rsid w:val="00C65E28"/>
    <w:rsid w:val="00C65FE8"/>
    <w:rsid w:val="00C66323"/>
    <w:rsid w:val="00C71338"/>
    <w:rsid w:val="00C71C46"/>
    <w:rsid w:val="00C73943"/>
    <w:rsid w:val="00C872EF"/>
    <w:rsid w:val="00C87A02"/>
    <w:rsid w:val="00C87E29"/>
    <w:rsid w:val="00C92A27"/>
    <w:rsid w:val="00C92B8D"/>
    <w:rsid w:val="00C93634"/>
    <w:rsid w:val="00C946B7"/>
    <w:rsid w:val="00C97F5A"/>
    <w:rsid w:val="00CA10E1"/>
    <w:rsid w:val="00CA4043"/>
    <w:rsid w:val="00CB5E89"/>
    <w:rsid w:val="00CC0C96"/>
    <w:rsid w:val="00CC22B2"/>
    <w:rsid w:val="00CC5E5D"/>
    <w:rsid w:val="00CC646B"/>
    <w:rsid w:val="00CC6A86"/>
    <w:rsid w:val="00CD36DA"/>
    <w:rsid w:val="00CD39A3"/>
    <w:rsid w:val="00CE1BF6"/>
    <w:rsid w:val="00CE1CBB"/>
    <w:rsid w:val="00CE4464"/>
    <w:rsid w:val="00CF66F3"/>
    <w:rsid w:val="00CF7129"/>
    <w:rsid w:val="00D002BA"/>
    <w:rsid w:val="00D0076E"/>
    <w:rsid w:val="00D035AC"/>
    <w:rsid w:val="00D03A41"/>
    <w:rsid w:val="00D04ACE"/>
    <w:rsid w:val="00D1271E"/>
    <w:rsid w:val="00D12E69"/>
    <w:rsid w:val="00D153A6"/>
    <w:rsid w:val="00D20501"/>
    <w:rsid w:val="00D222A5"/>
    <w:rsid w:val="00D228B8"/>
    <w:rsid w:val="00D23974"/>
    <w:rsid w:val="00D242FF"/>
    <w:rsid w:val="00D2534E"/>
    <w:rsid w:val="00D26AA5"/>
    <w:rsid w:val="00D31E88"/>
    <w:rsid w:val="00D31F97"/>
    <w:rsid w:val="00D3204A"/>
    <w:rsid w:val="00D3409B"/>
    <w:rsid w:val="00D347F4"/>
    <w:rsid w:val="00D34CC1"/>
    <w:rsid w:val="00D3571C"/>
    <w:rsid w:val="00D366F2"/>
    <w:rsid w:val="00D368EF"/>
    <w:rsid w:val="00D3724C"/>
    <w:rsid w:val="00D37618"/>
    <w:rsid w:val="00D42B5D"/>
    <w:rsid w:val="00D50772"/>
    <w:rsid w:val="00D50D58"/>
    <w:rsid w:val="00D51483"/>
    <w:rsid w:val="00D534FA"/>
    <w:rsid w:val="00D5418C"/>
    <w:rsid w:val="00D55902"/>
    <w:rsid w:val="00D5602C"/>
    <w:rsid w:val="00D606C4"/>
    <w:rsid w:val="00D6504F"/>
    <w:rsid w:val="00D66ACC"/>
    <w:rsid w:val="00D672B5"/>
    <w:rsid w:val="00D71806"/>
    <w:rsid w:val="00D71B4F"/>
    <w:rsid w:val="00D72F1E"/>
    <w:rsid w:val="00D744AF"/>
    <w:rsid w:val="00D75412"/>
    <w:rsid w:val="00D831C1"/>
    <w:rsid w:val="00D91E47"/>
    <w:rsid w:val="00D92061"/>
    <w:rsid w:val="00D92D37"/>
    <w:rsid w:val="00D93B45"/>
    <w:rsid w:val="00D940ED"/>
    <w:rsid w:val="00D948DA"/>
    <w:rsid w:val="00D95245"/>
    <w:rsid w:val="00D957E4"/>
    <w:rsid w:val="00D97810"/>
    <w:rsid w:val="00DA0A79"/>
    <w:rsid w:val="00DA32CA"/>
    <w:rsid w:val="00DA433A"/>
    <w:rsid w:val="00DA510C"/>
    <w:rsid w:val="00DA531B"/>
    <w:rsid w:val="00DA6DC5"/>
    <w:rsid w:val="00DB2CC1"/>
    <w:rsid w:val="00DB5BD1"/>
    <w:rsid w:val="00DB6CDD"/>
    <w:rsid w:val="00DC1E43"/>
    <w:rsid w:val="00DC3CE1"/>
    <w:rsid w:val="00DC4CE9"/>
    <w:rsid w:val="00DC6588"/>
    <w:rsid w:val="00DC6D15"/>
    <w:rsid w:val="00DC7D2D"/>
    <w:rsid w:val="00DD02BE"/>
    <w:rsid w:val="00DD1A76"/>
    <w:rsid w:val="00DD3C7C"/>
    <w:rsid w:val="00DE2AD9"/>
    <w:rsid w:val="00DE2E31"/>
    <w:rsid w:val="00DE54B6"/>
    <w:rsid w:val="00DE779C"/>
    <w:rsid w:val="00DE79C1"/>
    <w:rsid w:val="00DF1DC8"/>
    <w:rsid w:val="00DF3C7F"/>
    <w:rsid w:val="00DF67A2"/>
    <w:rsid w:val="00DF7DDC"/>
    <w:rsid w:val="00E0771D"/>
    <w:rsid w:val="00E105A8"/>
    <w:rsid w:val="00E13898"/>
    <w:rsid w:val="00E13CEB"/>
    <w:rsid w:val="00E14CC3"/>
    <w:rsid w:val="00E14F3B"/>
    <w:rsid w:val="00E1551C"/>
    <w:rsid w:val="00E16410"/>
    <w:rsid w:val="00E20F08"/>
    <w:rsid w:val="00E22D95"/>
    <w:rsid w:val="00E23FB0"/>
    <w:rsid w:val="00E30FAA"/>
    <w:rsid w:val="00E312B6"/>
    <w:rsid w:val="00E31E35"/>
    <w:rsid w:val="00E32218"/>
    <w:rsid w:val="00E345CA"/>
    <w:rsid w:val="00E37FEE"/>
    <w:rsid w:val="00E41B96"/>
    <w:rsid w:val="00E41B9C"/>
    <w:rsid w:val="00E445A1"/>
    <w:rsid w:val="00E4510C"/>
    <w:rsid w:val="00E47955"/>
    <w:rsid w:val="00E47FEC"/>
    <w:rsid w:val="00E53317"/>
    <w:rsid w:val="00E6431D"/>
    <w:rsid w:val="00E64554"/>
    <w:rsid w:val="00E66993"/>
    <w:rsid w:val="00E66BD3"/>
    <w:rsid w:val="00E67A55"/>
    <w:rsid w:val="00E744D1"/>
    <w:rsid w:val="00E74D61"/>
    <w:rsid w:val="00E75008"/>
    <w:rsid w:val="00E7534C"/>
    <w:rsid w:val="00E841EE"/>
    <w:rsid w:val="00E90DF0"/>
    <w:rsid w:val="00E93D94"/>
    <w:rsid w:val="00E94355"/>
    <w:rsid w:val="00EA16A9"/>
    <w:rsid w:val="00EA182B"/>
    <w:rsid w:val="00EA1B05"/>
    <w:rsid w:val="00EA3C3B"/>
    <w:rsid w:val="00EB181C"/>
    <w:rsid w:val="00EB389D"/>
    <w:rsid w:val="00EB3BCB"/>
    <w:rsid w:val="00EB476F"/>
    <w:rsid w:val="00EB6DD6"/>
    <w:rsid w:val="00EC101E"/>
    <w:rsid w:val="00EC38E7"/>
    <w:rsid w:val="00EC3E68"/>
    <w:rsid w:val="00EC7258"/>
    <w:rsid w:val="00EE07A6"/>
    <w:rsid w:val="00EE0FFB"/>
    <w:rsid w:val="00EE1CDE"/>
    <w:rsid w:val="00EE44BF"/>
    <w:rsid w:val="00EF0757"/>
    <w:rsid w:val="00EF0E5B"/>
    <w:rsid w:val="00EF27A2"/>
    <w:rsid w:val="00EF6182"/>
    <w:rsid w:val="00EF6BD5"/>
    <w:rsid w:val="00F00DED"/>
    <w:rsid w:val="00F0223A"/>
    <w:rsid w:val="00F042B4"/>
    <w:rsid w:val="00F075EE"/>
    <w:rsid w:val="00F104CA"/>
    <w:rsid w:val="00F10564"/>
    <w:rsid w:val="00F1111E"/>
    <w:rsid w:val="00F12B38"/>
    <w:rsid w:val="00F14AB7"/>
    <w:rsid w:val="00F15FD9"/>
    <w:rsid w:val="00F16C64"/>
    <w:rsid w:val="00F2075E"/>
    <w:rsid w:val="00F20E7F"/>
    <w:rsid w:val="00F22AC0"/>
    <w:rsid w:val="00F241B5"/>
    <w:rsid w:val="00F30CFF"/>
    <w:rsid w:val="00F33FED"/>
    <w:rsid w:val="00F3590E"/>
    <w:rsid w:val="00F37B65"/>
    <w:rsid w:val="00F40DCE"/>
    <w:rsid w:val="00F429C3"/>
    <w:rsid w:val="00F4325A"/>
    <w:rsid w:val="00F44655"/>
    <w:rsid w:val="00F45208"/>
    <w:rsid w:val="00F453C0"/>
    <w:rsid w:val="00F45855"/>
    <w:rsid w:val="00F45889"/>
    <w:rsid w:val="00F46C66"/>
    <w:rsid w:val="00F47E29"/>
    <w:rsid w:val="00F51A09"/>
    <w:rsid w:val="00F51D6B"/>
    <w:rsid w:val="00F52DF0"/>
    <w:rsid w:val="00F53504"/>
    <w:rsid w:val="00F66A47"/>
    <w:rsid w:val="00F73DB6"/>
    <w:rsid w:val="00F81D68"/>
    <w:rsid w:val="00F84BDE"/>
    <w:rsid w:val="00F8793F"/>
    <w:rsid w:val="00F9305F"/>
    <w:rsid w:val="00F932C8"/>
    <w:rsid w:val="00F938ED"/>
    <w:rsid w:val="00F93F17"/>
    <w:rsid w:val="00FA18AC"/>
    <w:rsid w:val="00FA2DD7"/>
    <w:rsid w:val="00FA2DEE"/>
    <w:rsid w:val="00FA48D4"/>
    <w:rsid w:val="00FB34F2"/>
    <w:rsid w:val="00FB3C30"/>
    <w:rsid w:val="00FB66D9"/>
    <w:rsid w:val="00FB6FE2"/>
    <w:rsid w:val="00FB725D"/>
    <w:rsid w:val="00FC0422"/>
    <w:rsid w:val="00FC11EB"/>
    <w:rsid w:val="00FC1F74"/>
    <w:rsid w:val="00FC2C29"/>
    <w:rsid w:val="00FC73AD"/>
    <w:rsid w:val="00FD1120"/>
    <w:rsid w:val="00FD30CB"/>
    <w:rsid w:val="00FD4D0E"/>
    <w:rsid w:val="00FD57AB"/>
    <w:rsid w:val="00FD5E69"/>
    <w:rsid w:val="00FE2D3D"/>
    <w:rsid w:val="00FE37FD"/>
    <w:rsid w:val="00FE39C4"/>
    <w:rsid w:val="00FE4E35"/>
    <w:rsid w:val="00FE60B3"/>
    <w:rsid w:val="00FE6365"/>
    <w:rsid w:val="00FE79E8"/>
    <w:rsid w:val="00FF0C0C"/>
    <w:rsid w:val="00FF152B"/>
    <w:rsid w:val="00FF3821"/>
    <w:rsid w:val="00FF3EA0"/>
    <w:rsid w:val="00FF71C9"/>
    <w:rsid w:val="025B27B5"/>
    <w:rsid w:val="02F07B9F"/>
    <w:rsid w:val="07C80EFB"/>
    <w:rsid w:val="10E24D87"/>
    <w:rsid w:val="119A1F8D"/>
    <w:rsid w:val="13750D6C"/>
    <w:rsid w:val="13C347B9"/>
    <w:rsid w:val="14E135CF"/>
    <w:rsid w:val="1A66331F"/>
    <w:rsid w:val="1CE22479"/>
    <w:rsid w:val="1E0104DD"/>
    <w:rsid w:val="1E0F0C91"/>
    <w:rsid w:val="1EA4741C"/>
    <w:rsid w:val="283C571B"/>
    <w:rsid w:val="2CD32C5A"/>
    <w:rsid w:val="30C62676"/>
    <w:rsid w:val="388A16E7"/>
    <w:rsid w:val="3CC75F2B"/>
    <w:rsid w:val="43964717"/>
    <w:rsid w:val="43BE3353"/>
    <w:rsid w:val="443D4540"/>
    <w:rsid w:val="45553AE5"/>
    <w:rsid w:val="45974888"/>
    <w:rsid w:val="47D26073"/>
    <w:rsid w:val="47E75CBA"/>
    <w:rsid w:val="4B700D53"/>
    <w:rsid w:val="4BDA12B0"/>
    <w:rsid w:val="4D317F5A"/>
    <w:rsid w:val="4D3A7115"/>
    <w:rsid w:val="536D2F2E"/>
    <w:rsid w:val="546D21DB"/>
    <w:rsid w:val="54F70F5A"/>
    <w:rsid w:val="5E677C9B"/>
    <w:rsid w:val="5EA70DDA"/>
    <w:rsid w:val="65271F32"/>
    <w:rsid w:val="66091AE9"/>
    <w:rsid w:val="68AB6E74"/>
    <w:rsid w:val="6C550632"/>
    <w:rsid w:val="742915A0"/>
    <w:rsid w:val="77E56B80"/>
    <w:rsid w:val="7C42088B"/>
    <w:rsid w:val="7CE6373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0" w:semiHidden="0" w:name="heading 4"/>
    <w:lsdException w:qFormat="1" w:unhideWhenUsed="0" w:uiPriority="9"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9"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nhideWhenUsed="0" w:uiPriority="0" w:semiHidden="0" w:name="footnote reference"/>
    <w:lsdException w:qFormat="1" w:unhideWhenUsed="0"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uiPriority="99" w:name="Salutation"/>
    <w:lsdException w:qFormat="1" w:uiPriority="99" w:name="Date"/>
    <w:lsdException w:qFormat="1" w:uiPriority="99" w:semiHidden="0" w:name="Body Text First Indent"/>
    <w:lsdException w:qFormat="1" w:uiPriority="0" w:semiHidden="0" w:name="Body Text First Indent 2"/>
    <w:lsdException w:uiPriority="99" w:name="Note Heading"/>
    <w:lsdException w:uiPriority="99" w:name="Body Text 2"/>
    <w:lsdException w:qFormat="1" w:uiPriority="99" w:name="Body Text 3"/>
    <w:lsdException w:qFormat="1" w:uiPriority="99" w:semiHidden="0" w:name="Body Text Indent 2"/>
    <w:lsdException w:qFormat="1" w:uiPriority="99" w:name="Body Text Indent 3"/>
    <w:lsdException w:qFormat="1" w:uiPriority="99" w:semiHidden="0"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pPr>
    <w:rPr>
      <w:rFonts w:ascii="Times New Roman" w:hAnsi="Times New Roman" w:eastAsia="宋体" w:cs="Times New Roman"/>
      <w:sz w:val="21"/>
      <w:lang w:val="en-US" w:eastAsia="zh-CN" w:bidi="ar-SA"/>
    </w:rPr>
  </w:style>
  <w:style w:type="paragraph" w:styleId="2">
    <w:name w:val="heading 1"/>
    <w:basedOn w:val="1"/>
    <w:next w:val="1"/>
    <w:link w:val="49"/>
    <w:qFormat/>
    <w:uiPriority w:val="9"/>
    <w:pPr>
      <w:keepNext/>
      <w:keepLines/>
      <w:spacing w:before="340" w:after="330" w:line="578" w:lineRule="atLeast"/>
      <w:jc w:val="center"/>
      <w:outlineLvl w:val="0"/>
    </w:pPr>
    <w:rPr>
      <w:rFonts w:eastAsia="微软雅黑"/>
      <w:b/>
      <w:bCs/>
      <w:kern w:val="44"/>
      <w:sz w:val="32"/>
      <w:szCs w:val="44"/>
    </w:rPr>
  </w:style>
  <w:style w:type="paragraph" w:styleId="3">
    <w:name w:val="heading 2"/>
    <w:basedOn w:val="1"/>
    <w:next w:val="4"/>
    <w:link w:val="50"/>
    <w:unhideWhenUsed/>
    <w:qFormat/>
    <w:uiPriority w:val="0"/>
    <w:pPr>
      <w:keepNext/>
      <w:keepLines/>
      <w:spacing w:before="260" w:after="260" w:line="416" w:lineRule="atLeast"/>
      <w:jc w:val="center"/>
      <w:outlineLvl w:val="1"/>
    </w:pPr>
    <w:rPr>
      <w:rFonts w:eastAsia="微软雅黑" w:asciiTheme="majorHAnsi" w:hAnsiTheme="majorHAnsi" w:cstheme="majorBidi"/>
      <w:b/>
      <w:bCs/>
      <w:sz w:val="30"/>
      <w:szCs w:val="32"/>
    </w:rPr>
  </w:style>
  <w:style w:type="paragraph" w:styleId="8">
    <w:name w:val="heading 3"/>
    <w:basedOn w:val="1"/>
    <w:next w:val="1"/>
    <w:link w:val="51"/>
    <w:autoRedefine/>
    <w:unhideWhenUsed/>
    <w:qFormat/>
    <w:uiPriority w:val="0"/>
    <w:pPr>
      <w:keepNext/>
      <w:keepLines/>
      <w:spacing w:before="160" w:after="160" w:line="360" w:lineRule="atLeast"/>
      <w:jc w:val="left"/>
      <w:outlineLvl w:val="2"/>
    </w:pPr>
    <w:rPr>
      <w:rFonts w:eastAsia="微软雅黑"/>
      <w:b/>
      <w:bCs/>
      <w:sz w:val="28"/>
      <w:szCs w:val="32"/>
    </w:rPr>
  </w:style>
  <w:style w:type="paragraph" w:styleId="9">
    <w:name w:val="heading 4"/>
    <w:basedOn w:val="1"/>
    <w:next w:val="1"/>
    <w:link w:val="52"/>
    <w:unhideWhenUsed/>
    <w:qFormat/>
    <w:uiPriority w:val="0"/>
    <w:pPr>
      <w:keepNext/>
      <w:keepLines/>
      <w:spacing w:before="280" w:after="290" w:line="376" w:lineRule="atLeast"/>
      <w:jc w:val="left"/>
      <w:outlineLvl w:val="3"/>
    </w:pPr>
    <w:rPr>
      <w:rFonts w:eastAsia="微软雅黑" w:asciiTheme="majorHAnsi" w:hAnsiTheme="majorHAnsi" w:cstheme="majorBidi"/>
      <w:b/>
      <w:bCs/>
      <w:sz w:val="24"/>
      <w:szCs w:val="28"/>
    </w:rPr>
  </w:style>
  <w:style w:type="paragraph" w:styleId="10">
    <w:name w:val="heading 5"/>
    <w:basedOn w:val="1"/>
    <w:next w:val="1"/>
    <w:link w:val="53"/>
    <w:qFormat/>
    <w:uiPriority w:val="9"/>
    <w:pPr>
      <w:keepNext/>
      <w:keepLines/>
      <w:tabs>
        <w:tab w:val="left" w:pos="1008"/>
      </w:tabs>
      <w:adjustRightInd/>
      <w:spacing w:before="280" w:after="290" w:line="376" w:lineRule="auto"/>
      <w:ind w:left="1008" w:hanging="1008" w:firstLineChars="200"/>
      <w:outlineLvl w:val="4"/>
    </w:pPr>
    <w:rPr>
      <w:b/>
      <w:bCs/>
      <w:kern w:val="2"/>
      <w:sz w:val="28"/>
      <w:szCs w:val="28"/>
    </w:rPr>
  </w:style>
  <w:style w:type="paragraph" w:styleId="11">
    <w:name w:val="heading 6"/>
    <w:basedOn w:val="1"/>
    <w:next w:val="1"/>
    <w:link w:val="54"/>
    <w:qFormat/>
    <w:uiPriority w:val="9"/>
    <w:pPr>
      <w:keepNext/>
      <w:keepLines/>
      <w:tabs>
        <w:tab w:val="left" w:pos="1152"/>
      </w:tabs>
      <w:adjustRightInd/>
      <w:spacing w:before="240" w:after="64" w:line="320" w:lineRule="auto"/>
      <w:ind w:left="1152" w:hanging="1152" w:firstLineChars="200"/>
      <w:outlineLvl w:val="5"/>
    </w:pPr>
    <w:rPr>
      <w:rFonts w:ascii="Arial" w:hAnsi="Arial" w:eastAsia="黑体"/>
      <w:b/>
      <w:bCs/>
      <w:kern w:val="2"/>
      <w:sz w:val="24"/>
      <w:szCs w:val="24"/>
    </w:rPr>
  </w:style>
  <w:style w:type="paragraph" w:styleId="12">
    <w:name w:val="heading 7"/>
    <w:basedOn w:val="1"/>
    <w:next w:val="1"/>
    <w:link w:val="55"/>
    <w:qFormat/>
    <w:uiPriority w:val="0"/>
    <w:pPr>
      <w:keepNext/>
      <w:keepLines/>
      <w:tabs>
        <w:tab w:val="left" w:pos="1296"/>
      </w:tabs>
      <w:adjustRightInd/>
      <w:spacing w:before="240" w:after="64" w:line="320" w:lineRule="auto"/>
      <w:ind w:left="1296" w:hanging="1296" w:firstLineChars="200"/>
      <w:outlineLvl w:val="6"/>
    </w:pPr>
    <w:rPr>
      <w:b/>
      <w:bCs/>
      <w:kern w:val="2"/>
      <w:sz w:val="24"/>
      <w:szCs w:val="24"/>
    </w:rPr>
  </w:style>
  <w:style w:type="paragraph" w:styleId="13">
    <w:name w:val="heading 8"/>
    <w:basedOn w:val="1"/>
    <w:next w:val="1"/>
    <w:link w:val="56"/>
    <w:qFormat/>
    <w:uiPriority w:val="0"/>
    <w:pPr>
      <w:keepNext/>
      <w:keepLines/>
      <w:tabs>
        <w:tab w:val="left" w:pos="1440"/>
      </w:tabs>
      <w:adjustRightInd/>
      <w:spacing w:before="240" w:after="64" w:line="320" w:lineRule="auto"/>
      <w:ind w:left="1440" w:hanging="1440" w:firstLineChars="200"/>
      <w:outlineLvl w:val="7"/>
    </w:pPr>
    <w:rPr>
      <w:rFonts w:ascii="Arial" w:hAnsi="Arial" w:eastAsia="黑体"/>
      <w:kern w:val="2"/>
      <w:sz w:val="24"/>
      <w:szCs w:val="24"/>
    </w:rPr>
  </w:style>
  <w:style w:type="paragraph" w:styleId="14">
    <w:name w:val="heading 9"/>
    <w:basedOn w:val="1"/>
    <w:next w:val="1"/>
    <w:link w:val="57"/>
    <w:qFormat/>
    <w:uiPriority w:val="9"/>
    <w:pPr>
      <w:keepNext/>
      <w:keepLines/>
      <w:tabs>
        <w:tab w:val="left" w:pos="1584"/>
      </w:tabs>
      <w:adjustRightInd/>
      <w:spacing w:before="240" w:after="64" w:line="320" w:lineRule="auto"/>
      <w:ind w:left="1584" w:hanging="1584" w:firstLineChars="200"/>
      <w:outlineLvl w:val="8"/>
    </w:pPr>
    <w:rPr>
      <w:rFonts w:ascii="Arial" w:hAnsi="Arial" w:eastAsia="黑体"/>
      <w:kern w:val="2"/>
      <w:szCs w:val="21"/>
    </w:rPr>
  </w:style>
  <w:style w:type="character" w:default="1" w:styleId="41">
    <w:name w:val="Default Paragraph Font"/>
    <w:semiHidden/>
    <w:unhideWhenUsed/>
    <w:qFormat/>
    <w:uiPriority w:val="1"/>
  </w:style>
  <w:style w:type="table" w:default="1" w:styleId="39">
    <w:name w:val="Normal Table"/>
    <w:semiHidden/>
    <w:unhideWhenUsed/>
    <w:qFormat/>
    <w:uiPriority w:val="99"/>
    <w:tblPr>
      <w:tblCellMar>
        <w:top w:w="0" w:type="dxa"/>
        <w:left w:w="108" w:type="dxa"/>
        <w:bottom w:w="0" w:type="dxa"/>
        <w:right w:w="108" w:type="dxa"/>
      </w:tblCellMar>
    </w:tblPr>
  </w:style>
  <w:style w:type="paragraph" w:styleId="4">
    <w:name w:val="Normal Indent"/>
    <w:basedOn w:val="1"/>
    <w:next w:val="5"/>
    <w:link w:val="77"/>
    <w:qFormat/>
    <w:uiPriority w:val="0"/>
    <w:pPr>
      <w:widowControl w:val="0"/>
      <w:autoSpaceDE w:val="0"/>
      <w:autoSpaceDN w:val="0"/>
      <w:adjustRightInd w:val="0"/>
      <w:ind w:firstLine="420"/>
    </w:pPr>
    <w:rPr>
      <w:rFonts w:ascii="宋体" w:hAnsiTheme="minorHAnsi" w:eastAsiaTheme="minorEastAsia" w:cstheme="minorBidi"/>
      <w:kern w:val="2"/>
      <w:sz w:val="24"/>
      <w:szCs w:val="22"/>
      <w:lang w:val="en-US" w:eastAsia="zh-CN" w:bidi="ar-SA"/>
    </w:rPr>
  </w:style>
  <w:style w:type="paragraph" w:styleId="5">
    <w:name w:val="Body Text First Indent 2"/>
    <w:basedOn w:val="6"/>
    <w:next w:val="1"/>
    <w:link w:val="84"/>
    <w:unhideWhenUsed/>
    <w:qFormat/>
    <w:uiPriority w:val="0"/>
    <w:pPr>
      <w:adjustRightInd/>
      <w:spacing w:after="120" w:line="240" w:lineRule="auto"/>
      <w:ind w:left="420" w:leftChars="200" w:firstLine="420" w:firstLineChars="200"/>
      <w:jc w:val="both"/>
    </w:pPr>
    <w:rPr>
      <w:kern w:val="2"/>
      <w:sz w:val="21"/>
      <w:szCs w:val="24"/>
      <w:lang w:bidi="ar-SA"/>
    </w:rPr>
  </w:style>
  <w:style w:type="paragraph" w:styleId="6">
    <w:name w:val="Body Text Indent"/>
    <w:basedOn w:val="1"/>
    <w:next w:val="7"/>
    <w:link w:val="61"/>
    <w:unhideWhenUsed/>
    <w:qFormat/>
    <w:uiPriority w:val="0"/>
    <w:pPr>
      <w:ind w:left="2730" w:hanging="2730" w:hangingChars="1365"/>
      <w:jc w:val="left"/>
    </w:pPr>
    <w:rPr>
      <w:sz w:val="20"/>
      <w:lang w:bidi="he-IL"/>
    </w:rPr>
  </w:style>
  <w:style w:type="paragraph" w:styleId="7">
    <w:name w:val="envelope return"/>
    <w:basedOn w:val="1"/>
    <w:qFormat/>
    <w:uiPriority w:val="0"/>
    <w:pPr>
      <w:snapToGrid w:val="0"/>
    </w:pPr>
    <w:rPr>
      <w:rFonts w:ascii="Arial" w:hAnsi="Arial"/>
    </w:rPr>
  </w:style>
  <w:style w:type="paragraph" w:styleId="15">
    <w:name w:val="toc 7"/>
    <w:basedOn w:val="1"/>
    <w:next w:val="1"/>
    <w:unhideWhenUsed/>
    <w:qFormat/>
    <w:uiPriority w:val="39"/>
    <w:pPr>
      <w:adjustRightInd/>
      <w:spacing w:line="240" w:lineRule="auto"/>
      <w:ind w:left="2520" w:leftChars="1200"/>
    </w:pPr>
    <w:rPr>
      <w:rFonts w:asciiTheme="minorHAnsi" w:hAnsiTheme="minorHAnsi" w:eastAsiaTheme="minorEastAsia" w:cstheme="minorBidi"/>
      <w:kern w:val="2"/>
      <w:szCs w:val="22"/>
    </w:rPr>
  </w:style>
  <w:style w:type="paragraph" w:styleId="16">
    <w:name w:val="annotation text"/>
    <w:basedOn w:val="1"/>
    <w:link w:val="115"/>
    <w:unhideWhenUsed/>
    <w:qFormat/>
    <w:uiPriority w:val="0"/>
    <w:pPr>
      <w:adjustRightInd/>
      <w:spacing w:line="500" w:lineRule="exact"/>
      <w:jc w:val="left"/>
    </w:pPr>
    <w:rPr>
      <w:sz w:val="20"/>
    </w:rPr>
  </w:style>
  <w:style w:type="paragraph" w:styleId="17">
    <w:name w:val="Body Text 3"/>
    <w:basedOn w:val="1"/>
    <w:link w:val="71"/>
    <w:semiHidden/>
    <w:unhideWhenUsed/>
    <w:qFormat/>
    <w:uiPriority w:val="99"/>
    <w:pPr>
      <w:spacing w:after="120"/>
    </w:pPr>
    <w:rPr>
      <w:sz w:val="16"/>
      <w:szCs w:val="16"/>
    </w:rPr>
  </w:style>
  <w:style w:type="paragraph" w:styleId="18">
    <w:name w:val="Body Text"/>
    <w:basedOn w:val="1"/>
    <w:link w:val="78"/>
    <w:autoRedefine/>
    <w:unhideWhenUsed/>
    <w:qFormat/>
    <w:uiPriority w:val="0"/>
    <w:pPr>
      <w:spacing w:after="120"/>
    </w:pPr>
  </w:style>
  <w:style w:type="paragraph" w:styleId="19">
    <w:name w:val="Block Text"/>
    <w:basedOn w:val="1"/>
    <w:autoRedefine/>
    <w:unhideWhenUsed/>
    <w:qFormat/>
    <w:uiPriority w:val="99"/>
    <w:pPr>
      <w:spacing w:after="120"/>
      <w:ind w:left="1440" w:leftChars="700" w:right="1440" w:rightChars="700"/>
    </w:pPr>
    <w:rPr>
      <w:szCs w:val="24"/>
    </w:rPr>
  </w:style>
  <w:style w:type="paragraph" w:styleId="20">
    <w:name w:val="toc 5"/>
    <w:basedOn w:val="1"/>
    <w:next w:val="1"/>
    <w:unhideWhenUsed/>
    <w:qFormat/>
    <w:uiPriority w:val="39"/>
    <w:pPr>
      <w:adjustRightInd/>
      <w:spacing w:line="240" w:lineRule="auto"/>
      <w:ind w:left="1680" w:leftChars="800"/>
    </w:pPr>
    <w:rPr>
      <w:rFonts w:asciiTheme="minorHAnsi" w:hAnsiTheme="minorHAnsi" w:eastAsiaTheme="minorEastAsia" w:cstheme="minorBidi"/>
      <w:kern w:val="2"/>
      <w:szCs w:val="22"/>
    </w:rPr>
  </w:style>
  <w:style w:type="paragraph" w:styleId="21">
    <w:name w:val="toc 3"/>
    <w:basedOn w:val="1"/>
    <w:next w:val="1"/>
    <w:autoRedefine/>
    <w:unhideWhenUsed/>
    <w:qFormat/>
    <w:uiPriority w:val="39"/>
    <w:pPr>
      <w:ind w:left="840" w:leftChars="400"/>
    </w:pPr>
  </w:style>
  <w:style w:type="paragraph" w:styleId="22">
    <w:name w:val="Plain Text"/>
    <w:basedOn w:val="1"/>
    <w:link w:val="116"/>
    <w:autoRedefine/>
    <w:qFormat/>
    <w:uiPriority w:val="0"/>
    <w:pPr>
      <w:textAlignment w:val="baseline"/>
    </w:pPr>
    <w:rPr>
      <w:rFonts w:ascii="宋体" w:hAnsi="Courier New"/>
    </w:rPr>
  </w:style>
  <w:style w:type="paragraph" w:styleId="23">
    <w:name w:val="toc 8"/>
    <w:basedOn w:val="1"/>
    <w:next w:val="1"/>
    <w:autoRedefine/>
    <w:unhideWhenUsed/>
    <w:qFormat/>
    <w:uiPriority w:val="39"/>
    <w:pPr>
      <w:adjustRightInd/>
      <w:spacing w:line="240" w:lineRule="auto"/>
      <w:ind w:left="2940" w:leftChars="1400"/>
    </w:pPr>
    <w:rPr>
      <w:rFonts w:asciiTheme="minorHAnsi" w:hAnsiTheme="minorHAnsi" w:eastAsiaTheme="minorEastAsia" w:cstheme="minorBidi"/>
      <w:kern w:val="2"/>
      <w:szCs w:val="22"/>
    </w:rPr>
  </w:style>
  <w:style w:type="paragraph" w:styleId="24">
    <w:name w:val="Date"/>
    <w:basedOn w:val="1"/>
    <w:next w:val="1"/>
    <w:link w:val="76"/>
    <w:autoRedefine/>
    <w:semiHidden/>
    <w:unhideWhenUsed/>
    <w:qFormat/>
    <w:uiPriority w:val="99"/>
    <w:pPr>
      <w:ind w:left="100" w:leftChars="2500"/>
    </w:pPr>
  </w:style>
  <w:style w:type="paragraph" w:styleId="25">
    <w:name w:val="Body Text Indent 2"/>
    <w:basedOn w:val="1"/>
    <w:link w:val="74"/>
    <w:autoRedefine/>
    <w:unhideWhenUsed/>
    <w:qFormat/>
    <w:uiPriority w:val="99"/>
    <w:pPr>
      <w:spacing w:after="120" w:line="480" w:lineRule="auto"/>
      <w:ind w:left="420" w:leftChars="200"/>
      <w:jc w:val="left"/>
    </w:pPr>
  </w:style>
  <w:style w:type="paragraph" w:styleId="26">
    <w:name w:val="Balloon Text"/>
    <w:basedOn w:val="1"/>
    <w:link w:val="60"/>
    <w:autoRedefine/>
    <w:semiHidden/>
    <w:unhideWhenUsed/>
    <w:qFormat/>
    <w:uiPriority w:val="99"/>
    <w:pPr>
      <w:adjustRightInd/>
      <w:spacing w:line="240" w:lineRule="auto"/>
    </w:pPr>
    <w:rPr>
      <w:rFonts w:asciiTheme="minorHAnsi" w:hAnsiTheme="minorHAnsi" w:eastAsiaTheme="minorEastAsia" w:cstheme="minorBidi"/>
      <w:kern w:val="2"/>
      <w:sz w:val="18"/>
      <w:szCs w:val="18"/>
    </w:rPr>
  </w:style>
  <w:style w:type="paragraph" w:styleId="27">
    <w:name w:val="footer"/>
    <w:basedOn w:val="1"/>
    <w:link w:val="59"/>
    <w:autoRedefine/>
    <w:unhideWhenUsed/>
    <w:qFormat/>
    <w:uiPriority w:val="0"/>
    <w:pPr>
      <w:tabs>
        <w:tab w:val="center" w:pos="4153"/>
        <w:tab w:val="right" w:pos="8306"/>
      </w:tabs>
      <w:adjustRightInd/>
      <w:snapToGrid w:val="0"/>
      <w:spacing w:line="240" w:lineRule="auto"/>
      <w:jc w:val="left"/>
    </w:pPr>
    <w:rPr>
      <w:rFonts w:asciiTheme="minorHAnsi" w:hAnsiTheme="minorHAnsi" w:eastAsiaTheme="minorEastAsia" w:cstheme="minorBidi"/>
      <w:kern w:val="2"/>
      <w:sz w:val="18"/>
      <w:szCs w:val="18"/>
    </w:rPr>
  </w:style>
  <w:style w:type="paragraph" w:styleId="28">
    <w:name w:val="header"/>
    <w:basedOn w:val="1"/>
    <w:link w:val="58"/>
    <w:autoRedefine/>
    <w:unhideWhenUsed/>
    <w:qFormat/>
    <w:uiPriority w:val="0"/>
    <w:pPr>
      <w:pBdr>
        <w:bottom w:val="single" w:color="auto" w:sz="6" w:space="1"/>
      </w:pBdr>
      <w:tabs>
        <w:tab w:val="center" w:pos="4153"/>
        <w:tab w:val="right" w:pos="8306"/>
      </w:tabs>
      <w:adjustRightInd/>
      <w:snapToGrid w:val="0"/>
      <w:spacing w:line="240" w:lineRule="auto"/>
      <w:jc w:val="center"/>
    </w:pPr>
    <w:rPr>
      <w:rFonts w:asciiTheme="minorHAnsi" w:hAnsiTheme="minorHAnsi" w:eastAsiaTheme="minorEastAsia" w:cstheme="minorBidi"/>
      <w:kern w:val="2"/>
      <w:sz w:val="18"/>
      <w:szCs w:val="18"/>
    </w:rPr>
  </w:style>
  <w:style w:type="paragraph" w:styleId="29">
    <w:name w:val="toc 1"/>
    <w:basedOn w:val="1"/>
    <w:next w:val="1"/>
    <w:autoRedefine/>
    <w:unhideWhenUsed/>
    <w:qFormat/>
    <w:uiPriority w:val="39"/>
  </w:style>
  <w:style w:type="paragraph" w:styleId="30">
    <w:name w:val="toc 4"/>
    <w:basedOn w:val="1"/>
    <w:next w:val="1"/>
    <w:autoRedefine/>
    <w:unhideWhenUsed/>
    <w:qFormat/>
    <w:uiPriority w:val="39"/>
    <w:pPr>
      <w:adjustRightInd/>
      <w:spacing w:line="240" w:lineRule="auto"/>
      <w:ind w:left="1260" w:leftChars="600"/>
    </w:pPr>
    <w:rPr>
      <w:rFonts w:asciiTheme="minorHAnsi" w:hAnsiTheme="minorHAnsi" w:eastAsiaTheme="minorEastAsia" w:cstheme="minorBidi"/>
      <w:kern w:val="2"/>
      <w:szCs w:val="22"/>
    </w:rPr>
  </w:style>
  <w:style w:type="paragraph" w:styleId="31">
    <w:name w:val="toc 6"/>
    <w:basedOn w:val="1"/>
    <w:next w:val="1"/>
    <w:autoRedefine/>
    <w:unhideWhenUsed/>
    <w:qFormat/>
    <w:uiPriority w:val="39"/>
    <w:pPr>
      <w:adjustRightInd/>
      <w:spacing w:line="240" w:lineRule="auto"/>
      <w:ind w:left="2100" w:leftChars="1000"/>
    </w:pPr>
    <w:rPr>
      <w:rFonts w:asciiTheme="minorHAnsi" w:hAnsiTheme="minorHAnsi" w:eastAsiaTheme="minorEastAsia" w:cstheme="minorBidi"/>
      <w:kern w:val="2"/>
      <w:szCs w:val="22"/>
    </w:rPr>
  </w:style>
  <w:style w:type="paragraph" w:styleId="32">
    <w:name w:val="Body Text Indent 3"/>
    <w:basedOn w:val="1"/>
    <w:link w:val="126"/>
    <w:autoRedefine/>
    <w:semiHidden/>
    <w:unhideWhenUsed/>
    <w:qFormat/>
    <w:uiPriority w:val="99"/>
    <w:pPr>
      <w:spacing w:after="120"/>
      <w:ind w:left="420" w:leftChars="200"/>
    </w:pPr>
    <w:rPr>
      <w:sz w:val="16"/>
      <w:szCs w:val="16"/>
    </w:rPr>
  </w:style>
  <w:style w:type="paragraph" w:styleId="33">
    <w:name w:val="toc 2"/>
    <w:basedOn w:val="1"/>
    <w:next w:val="1"/>
    <w:autoRedefine/>
    <w:qFormat/>
    <w:uiPriority w:val="39"/>
    <w:pPr>
      <w:ind w:left="420" w:leftChars="200"/>
    </w:pPr>
  </w:style>
  <w:style w:type="paragraph" w:styleId="34">
    <w:name w:val="toc 9"/>
    <w:basedOn w:val="1"/>
    <w:next w:val="1"/>
    <w:autoRedefine/>
    <w:unhideWhenUsed/>
    <w:qFormat/>
    <w:uiPriority w:val="39"/>
    <w:pPr>
      <w:adjustRightInd/>
      <w:spacing w:line="240" w:lineRule="auto"/>
      <w:ind w:left="3360" w:leftChars="1600"/>
    </w:pPr>
    <w:rPr>
      <w:rFonts w:asciiTheme="minorHAnsi" w:hAnsiTheme="minorHAnsi" w:eastAsiaTheme="minorEastAsia" w:cstheme="minorBidi"/>
      <w:kern w:val="2"/>
      <w:szCs w:val="22"/>
    </w:rPr>
  </w:style>
  <w:style w:type="paragraph" w:styleId="35">
    <w:name w:val="Message Header"/>
    <w:basedOn w:val="1"/>
    <w:next w:val="22"/>
    <w:link w:val="117"/>
    <w:autoRedefine/>
    <w:qFormat/>
    <w:uiPriority w:val="0"/>
    <w:pPr>
      <w:pBdr>
        <w:top w:val="single" w:color="auto" w:sz="6" w:space="1"/>
        <w:left w:val="single" w:color="auto" w:sz="6" w:space="1"/>
        <w:bottom w:val="single" w:color="auto" w:sz="6" w:space="1"/>
        <w:right w:val="single" w:color="auto" w:sz="6" w:space="1"/>
      </w:pBdr>
      <w:shd w:val="pct20" w:color="auto" w:fill="auto"/>
      <w:adjustRightInd/>
      <w:spacing w:line="240" w:lineRule="auto"/>
      <w:ind w:left="1080" w:leftChars="500" w:hanging="1080" w:hangingChars="500"/>
    </w:pPr>
    <w:rPr>
      <w:rFonts w:ascii="Cambria" w:hAnsi="Cambria"/>
      <w:kern w:val="2"/>
      <w:sz w:val="24"/>
    </w:rPr>
  </w:style>
  <w:style w:type="paragraph" w:styleId="36">
    <w:name w:val="Normal (Web)"/>
    <w:basedOn w:val="1"/>
    <w:autoRedefine/>
    <w:qFormat/>
    <w:uiPriority w:val="0"/>
    <w:pPr>
      <w:adjustRightInd/>
      <w:spacing w:before="100" w:beforeAutospacing="1" w:after="100" w:afterAutospacing="1" w:line="240" w:lineRule="auto"/>
      <w:jc w:val="left"/>
    </w:pPr>
    <w:rPr>
      <w:rFonts w:ascii="Calibri" w:hAnsi="Calibri"/>
      <w:sz w:val="24"/>
      <w:szCs w:val="24"/>
    </w:rPr>
  </w:style>
  <w:style w:type="paragraph" w:styleId="37">
    <w:name w:val="index 1"/>
    <w:basedOn w:val="1"/>
    <w:next w:val="1"/>
    <w:autoRedefine/>
    <w:qFormat/>
    <w:uiPriority w:val="0"/>
    <w:rPr>
      <w:rFonts w:ascii="仿宋_GB2312" w:hAnsi="宋体" w:eastAsia="仿宋_GB2312"/>
      <w:sz w:val="30"/>
      <w:szCs w:val="24"/>
    </w:rPr>
  </w:style>
  <w:style w:type="paragraph" w:styleId="38">
    <w:name w:val="Body Text First Indent"/>
    <w:basedOn w:val="18"/>
    <w:link w:val="85"/>
    <w:autoRedefine/>
    <w:unhideWhenUsed/>
    <w:qFormat/>
    <w:uiPriority w:val="99"/>
    <w:pPr>
      <w:ind w:firstLine="420" w:firstLineChars="100"/>
    </w:pPr>
  </w:style>
  <w:style w:type="table" w:styleId="40">
    <w:name w:val="Table Grid"/>
    <w:basedOn w:val="39"/>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2">
    <w:name w:val="Strong"/>
    <w:autoRedefine/>
    <w:qFormat/>
    <w:uiPriority w:val="0"/>
    <w:rPr>
      <w:b/>
    </w:rPr>
  </w:style>
  <w:style w:type="character" w:styleId="43">
    <w:name w:val="FollowedHyperlink"/>
    <w:basedOn w:val="41"/>
    <w:autoRedefine/>
    <w:semiHidden/>
    <w:unhideWhenUsed/>
    <w:qFormat/>
    <w:uiPriority w:val="99"/>
    <w:rPr>
      <w:color w:val="954F72"/>
      <w:u w:val="single"/>
    </w:rPr>
  </w:style>
  <w:style w:type="character" w:styleId="44">
    <w:name w:val="Hyperlink"/>
    <w:basedOn w:val="41"/>
    <w:autoRedefine/>
    <w:unhideWhenUsed/>
    <w:qFormat/>
    <w:uiPriority w:val="99"/>
    <w:rPr>
      <w:color w:val="0000FF" w:themeColor="hyperlink"/>
      <w:u w:val="single"/>
      <w14:textFill>
        <w14:solidFill>
          <w14:schemeClr w14:val="hlink"/>
        </w14:solidFill>
      </w14:textFill>
    </w:rPr>
  </w:style>
  <w:style w:type="character" w:styleId="45">
    <w:name w:val="annotation reference"/>
    <w:autoRedefine/>
    <w:semiHidden/>
    <w:qFormat/>
    <w:uiPriority w:val="0"/>
    <w:rPr>
      <w:sz w:val="21"/>
      <w:szCs w:val="21"/>
    </w:rPr>
  </w:style>
  <w:style w:type="character" w:styleId="46">
    <w:name w:val="footnote reference"/>
    <w:autoRedefine/>
    <w:qFormat/>
    <w:uiPriority w:val="0"/>
    <w:rPr>
      <w:vertAlign w:val="superscript"/>
    </w:rPr>
  </w:style>
  <w:style w:type="paragraph" w:customStyle="1" w:styleId="47">
    <w:name w:val="正文 New"/>
    <w:basedOn w:val="1"/>
    <w:autoRedefine/>
    <w:qFormat/>
    <w:uiPriority w:val="0"/>
    <w:pPr>
      <w:spacing w:before="100" w:beforeAutospacing="1" w:after="100" w:afterAutospacing="1" w:line="440" w:lineRule="exact"/>
      <w:ind w:left="357" w:hanging="357"/>
    </w:pPr>
    <w:rPr>
      <w:szCs w:val="21"/>
    </w:rPr>
  </w:style>
  <w:style w:type="paragraph" w:customStyle="1" w:styleId="48">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character" w:customStyle="1" w:styleId="49">
    <w:name w:val="标题 1 字符"/>
    <w:basedOn w:val="41"/>
    <w:link w:val="2"/>
    <w:autoRedefine/>
    <w:qFormat/>
    <w:uiPriority w:val="9"/>
    <w:rPr>
      <w:rFonts w:ascii="Times New Roman" w:hAnsi="Times New Roman" w:eastAsia="微软雅黑" w:cs="Times New Roman"/>
      <w:b/>
      <w:bCs/>
      <w:kern w:val="44"/>
      <w:sz w:val="32"/>
      <w:szCs w:val="44"/>
    </w:rPr>
  </w:style>
  <w:style w:type="character" w:customStyle="1" w:styleId="50">
    <w:name w:val="标题 2 字符"/>
    <w:basedOn w:val="41"/>
    <w:link w:val="3"/>
    <w:autoRedefine/>
    <w:qFormat/>
    <w:uiPriority w:val="9"/>
    <w:rPr>
      <w:rFonts w:eastAsia="微软雅黑" w:asciiTheme="majorHAnsi" w:hAnsiTheme="majorHAnsi" w:cstheme="majorBidi"/>
      <w:b/>
      <w:bCs/>
      <w:kern w:val="0"/>
      <w:sz w:val="30"/>
      <w:szCs w:val="32"/>
    </w:rPr>
  </w:style>
  <w:style w:type="character" w:customStyle="1" w:styleId="51">
    <w:name w:val="标题 3 字符"/>
    <w:basedOn w:val="41"/>
    <w:link w:val="8"/>
    <w:autoRedefine/>
    <w:qFormat/>
    <w:uiPriority w:val="0"/>
    <w:rPr>
      <w:rFonts w:ascii="Times New Roman" w:hAnsi="Times New Roman" w:eastAsia="微软雅黑" w:cs="Times New Roman"/>
      <w:b/>
      <w:bCs/>
      <w:kern w:val="0"/>
      <w:sz w:val="28"/>
      <w:szCs w:val="32"/>
    </w:rPr>
  </w:style>
  <w:style w:type="character" w:customStyle="1" w:styleId="52">
    <w:name w:val="标题 4 字符"/>
    <w:basedOn w:val="41"/>
    <w:link w:val="9"/>
    <w:autoRedefine/>
    <w:qFormat/>
    <w:uiPriority w:val="9"/>
    <w:rPr>
      <w:rFonts w:eastAsia="微软雅黑" w:asciiTheme="majorHAnsi" w:hAnsiTheme="majorHAnsi" w:cstheme="majorBidi"/>
      <w:b/>
      <w:bCs/>
      <w:kern w:val="0"/>
      <w:sz w:val="24"/>
      <w:szCs w:val="28"/>
    </w:rPr>
  </w:style>
  <w:style w:type="character" w:customStyle="1" w:styleId="53">
    <w:name w:val="标题 5 字符"/>
    <w:basedOn w:val="41"/>
    <w:link w:val="10"/>
    <w:autoRedefine/>
    <w:qFormat/>
    <w:uiPriority w:val="9"/>
    <w:rPr>
      <w:rFonts w:ascii="Times New Roman" w:hAnsi="Times New Roman" w:eastAsia="宋体" w:cs="Times New Roman"/>
      <w:b/>
      <w:bCs/>
      <w:sz w:val="28"/>
      <w:szCs w:val="28"/>
    </w:rPr>
  </w:style>
  <w:style w:type="character" w:customStyle="1" w:styleId="54">
    <w:name w:val="标题 6 字符"/>
    <w:basedOn w:val="41"/>
    <w:link w:val="11"/>
    <w:autoRedefine/>
    <w:qFormat/>
    <w:uiPriority w:val="9"/>
    <w:rPr>
      <w:rFonts w:ascii="Arial" w:hAnsi="Arial" w:eastAsia="黑体" w:cs="Times New Roman"/>
      <w:b/>
      <w:bCs/>
      <w:sz w:val="24"/>
      <w:szCs w:val="24"/>
    </w:rPr>
  </w:style>
  <w:style w:type="character" w:customStyle="1" w:styleId="55">
    <w:name w:val="标题 7 字符"/>
    <w:basedOn w:val="41"/>
    <w:link w:val="12"/>
    <w:autoRedefine/>
    <w:qFormat/>
    <w:uiPriority w:val="0"/>
    <w:rPr>
      <w:rFonts w:ascii="Times New Roman" w:hAnsi="Times New Roman" w:eastAsia="宋体" w:cs="Times New Roman"/>
      <w:b/>
      <w:bCs/>
      <w:sz w:val="24"/>
      <w:szCs w:val="24"/>
    </w:rPr>
  </w:style>
  <w:style w:type="character" w:customStyle="1" w:styleId="56">
    <w:name w:val="标题 8 字符"/>
    <w:basedOn w:val="41"/>
    <w:link w:val="13"/>
    <w:autoRedefine/>
    <w:qFormat/>
    <w:uiPriority w:val="0"/>
    <w:rPr>
      <w:rFonts w:ascii="Arial" w:hAnsi="Arial" w:eastAsia="黑体" w:cs="Times New Roman"/>
      <w:sz w:val="24"/>
      <w:szCs w:val="24"/>
    </w:rPr>
  </w:style>
  <w:style w:type="character" w:customStyle="1" w:styleId="57">
    <w:name w:val="标题 9 字符"/>
    <w:basedOn w:val="41"/>
    <w:link w:val="14"/>
    <w:autoRedefine/>
    <w:qFormat/>
    <w:uiPriority w:val="9"/>
    <w:rPr>
      <w:rFonts w:ascii="Arial" w:hAnsi="Arial" w:eastAsia="黑体" w:cs="Times New Roman"/>
      <w:szCs w:val="21"/>
    </w:rPr>
  </w:style>
  <w:style w:type="character" w:customStyle="1" w:styleId="58">
    <w:name w:val="页眉 字符"/>
    <w:basedOn w:val="41"/>
    <w:link w:val="28"/>
    <w:autoRedefine/>
    <w:qFormat/>
    <w:uiPriority w:val="0"/>
    <w:rPr>
      <w:sz w:val="18"/>
      <w:szCs w:val="18"/>
    </w:rPr>
  </w:style>
  <w:style w:type="character" w:customStyle="1" w:styleId="59">
    <w:name w:val="页脚 字符"/>
    <w:basedOn w:val="41"/>
    <w:link w:val="27"/>
    <w:autoRedefine/>
    <w:qFormat/>
    <w:uiPriority w:val="0"/>
    <w:rPr>
      <w:sz w:val="18"/>
      <w:szCs w:val="18"/>
    </w:rPr>
  </w:style>
  <w:style w:type="character" w:customStyle="1" w:styleId="60">
    <w:name w:val="批注框文本 字符"/>
    <w:basedOn w:val="41"/>
    <w:link w:val="26"/>
    <w:autoRedefine/>
    <w:semiHidden/>
    <w:qFormat/>
    <w:uiPriority w:val="99"/>
    <w:rPr>
      <w:sz w:val="18"/>
      <w:szCs w:val="18"/>
    </w:rPr>
  </w:style>
  <w:style w:type="character" w:customStyle="1" w:styleId="61">
    <w:name w:val="正文文本缩进 字符"/>
    <w:basedOn w:val="41"/>
    <w:link w:val="6"/>
    <w:autoRedefine/>
    <w:qFormat/>
    <w:uiPriority w:val="0"/>
    <w:rPr>
      <w:rFonts w:ascii="Times New Roman" w:hAnsi="Times New Roman" w:eastAsia="宋体" w:cs="Times New Roman"/>
      <w:kern w:val="0"/>
      <w:sz w:val="20"/>
      <w:szCs w:val="20"/>
      <w:lang w:bidi="he-IL"/>
    </w:rPr>
  </w:style>
  <w:style w:type="paragraph" w:styleId="62">
    <w:name w:val="List Paragraph"/>
    <w:basedOn w:val="1"/>
    <w:link w:val="63"/>
    <w:autoRedefine/>
    <w:qFormat/>
    <w:uiPriority w:val="34"/>
    <w:pPr>
      <w:snapToGrid w:val="0"/>
      <w:spacing w:line="360" w:lineRule="auto"/>
      <w:jc w:val="left"/>
    </w:pPr>
    <w:rPr>
      <w:rFonts w:eastAsia="微软雅黑"/>
      <w:b/>
      <w:sz w:val="30"/>
    </w:rPr>
  </w:style>
  <w:style w:type="character" w:customStyle="1" w:styleId="63">
    <w:name w:val="列出段落 字符"/>
    <w:link w:val="62"/>
    <w:autoRedefine/>
    <w:qFormat/>
    <w:uiPriority w:val="34"/>
    <w:rPr>
      <w:rFonts w:ascii="Times New Roman" w:hAnsi="Times New Roman" w:eastAsia="微软雅黑" w:cs="Times New Roman"/>
      <w:b/>
      <w:kern w:val="0"/>
      <w:sz w:val="30"/>
      <w:szCs w:val="20"/>
    </w:rPr>
  </w:style>
  <w:style w:type="character" w:customStyle="1" w:styleId="64">
    <w:name w:val="不明显强调1"/>
    <w:basedOn w:val="41"/>
    <w:autoRedefine/>
    <w:qFormat/>
    <w:uiPriority w:val="19"/>
    <w:rPr>
      <w:i/>
      <w:iCs/>
      <w:color w:val="404040" w:themeColor="text1" w:themeTint="BF"/>
      <w14:textFill>
        <w14:solidFill>
          <w14:schemeClr w14:val="tx1">
            <w14:lumMod w14:val="75000"/>
            <w14:lumOff w14:val="25000"/>
          </w14:schemeClr>
        </w14:solidFill>
      </w14:textFill>
    </w:rPr>
  </w:style>
  <w:style w:type="paragraph" w:customStyle="1" w:styleId="65">
    <w:name w:val="普通正文"/>
    <w:basedOn w:val="1"/>
    <w:autoRedefine/>
    <w:qFormat/>
    <w:uiPriority w:val="0"/>
    <w:pPr>
      <w:spacing w:before="120" w:after="120" w:line="360" w:lineRule="auto"/>
      <w:ind w:firstLine="480"/>
      <w:jc w:val="left"/>
      <w:textAlignment w:val="baseline"/>
    </w:pPr>
    <w:rPr>
      <w:rFonts w:ascii="Arial" w:hAnsi="Arial"/>
      <w:sz w:val="24"/>
      <w:szCs w:val="24"/>
    </w:rPr>
  </w:style>
  <w:style w:type="paragraph" w:customStyle="1" w:styleId="66">
    <w:name w:val="TOC 标题1"/>
    <w:basedOn w:val="2"/>
    <w:next w:val="1"/>
    <w:autoRedefine/>
    <w:semiHidden/>
    <w:unhideWhenUsed/>
    <w:qFormat/>
    <w:uiPriority w:val="39"/>
    <w:pPr>
      <w:widowControl/>
      <w:adjustRightInd/>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67">
    <w:name w:val="Body text|1_"/>
    <w:link w:val="68"/>
    <w:autoRedefine/>
    <w:qFormat/>
    <w:uiPriority w:val="0"/>
    <w:rPr>
      <w:rFonts w:ascii="宋体" w:hAnsi="宋体" w:cs="宋体"/>
      <w:sz w:val="28"/>
      <w:szCs w:val="28"/>
      <w:lang w:val="zh-TW" w:eastAsia="zh-TW" w:bidi="zh-TW"/>
    </w:rPr>
  </w:style>
  <w:style w:type="paragraph" w:customStyle="1" w:styleId="68">
    <w:name w:val="Body text|1"/>
    <w:basedOn w:val="1"/>
    <w:link w:val="67"/>
    <w:autoRedefine/>
    <w:qFormat/>
    <w:uiPriority w:val="0"/>
    <w:pPr>
      <w:adjustRightInd/>
      <w:spacing w:line="403" w:lineRule="auto"/>
      <w:ind w:firstLine="400"/>
      <w:jc w:val="left"/>
    </w:pPr>
    <w:rPr>
      <w:rFonts w:ascii="宋体" w:hAnsi="宋体" w:cs="宋体" w:eastAsiaTheme="minorEastAsia"/>
      <w:kern w:val="2"/>
      <w:sz w:val="28"/>
      <w:szCs w:val="28"/>
      <w:lang w:val="zh-TW" w:eastAsia="zh-TW" w:bidi="zh-TW"/>
    </w:rPr>
  </w:style>
  <w:style w:type="character" w:customStyle="1" w:styleId="69">
    <w:name w:val="Header or footer|1_"/>
    <w:link w:val="70"/>
    <w:autoRedefine/>
    <w:qFormat/>
    <w:uiPriority w:val="0"/>
    <w:rPr>
      <w:sz w:val="22"/>
      <w:lang w:val="zh-TW" w:eastAsia="zh-TW" w:bidi="zh-TW"/>
    </w:rPr>
  </w:style>
  <w:style w:type="paragraph" w:customStyle="1" w:styleId="70">
    <w:name w:val="Header or footer|1"/>
    <w:basedOn w:val="1"/>
    <w:link w:val="69"/>
    <w:autoRedefine/>
    <w:qFormat/>
    <w:uiPriority w:val="0"/>
    <w:pPr>
      <w:adjustRightInd/>
      <w:spacing w:line="240" w:lineRule="auto"/>
      <w:jc w:val="left"/>
    </w:pPr>
    <w:rPr>
      <w:rFonts w:asciiTheme="minorHAnsi" w:hAnsiTheme="minorHAnsi" w:eastAsiaTheme="minorEastAsia" w:cstheme="minorBidi"/>
      <w:kern w:val="2"/>
      <w:sz w:val="22"/>
      <w:szCs w:val="22"/>
      <w:lang w:val="zh-TW" w:eastAsia="zh-TW" w:bidi="zh-TW"/>
    </w:rPr>
  </w:style>
  <w:style w:type="character" w:customStyle="1" w:styleId="71">
    <w:name w:val="正文文本 3 字符"/>
    <w:basedOn w:val="41"/>
    <w:link w:val="17"/>
    <w:autoRedefine/>
    <w:semiHidden/>
    <w:qFormat/>
    <w:uiPriority w:val="99"/>
    <w:rPr>
      <w:rFonts w:ascii="Times New Roman" w:hAnsi="Times New Roman" w:eastAsia="宋体" w:cs="Times New Roman"/>
      <w:kern w:val="0"/>
      <w:sz w:val="16"/>
      <w:szCs w:val="16"/>
    </w:rPr>
  </w:style>
  <w:style w:type="character" w:customStyle="1" w:styleId="72">
    <w:name w:val="fontstyle01"/>
    <w:basedOn w:val="41"/>
    <w:autoRedefine/>
    <w:qFormat/>
    <w:uiPriority w:val="0"/>
    <w:rPr>
      <w:rFonts w:hint="eastAsia" w:ascii="宋体" w:hAnsi="宋体" w:eastAsia="宋体"/>
      <w:color w:val="000000"/>
      <w:sz w:val="44"/>
      <w:szCs w:val="44"/>
    </w:rPr>
  </w:style>
  <w:style w:type="character" w:customStyle="1" w:styleId="73">
    <w:name w:val="fontstyle21"/>
    <w:basedOn w:val="41"/>
    <w:autoRedefine/>
    <w:qFormat/>
    <w:uiPriority w:val="0"/>
    <w:rPr>
      <w:rFonts w:hint="default" w:ascii="Wingdings-Regular" w:hAnsi="Wingdings-Regular"/>
      <w:color w:val="000000"/>
      <w:sz w:val="22"/>
      <w:szCs w:val="22"/>
    </w:rPr>
  </w:style>
  <w:style w:type="character" w:customStyle="1" w:styleId="74">
    <w:name w:val="正文文本缩进 2 字符"/>
    <w:basedOn w:val="41"/>
    <w:link w:val="25"/>
    <w:autoRedefine/>
    <w:qFormat/>
    <w:uiPriority w:val="99"/>
    <w:rPr>
      <w:rFonts w:ascii="Times New Roman" w:hAnsi="Times New Roman" w:eastAsia="宋体" w:cs="Times New Roman"/>
      <w:kern w:val="0"/>
      <w:szCs w:val="20"/>
    </w:rPr>
  </w:style>
  <w:style w:type="character" w:customStyle="1" w:styleId="75">
    <w:name w:val="Unresolved Mention"/>
    <w:basedOn w:val="41"/>
    <w:autoRedefine/>
    <w:semiHidden/>
    <w:unhideWhenUsed/>
    <w:qFormat/>
    <w:uiPriority w:val="99"/>
    <w:rPr>
      <w:color w:val="605E5C"/>
      <w:shd w:val="clear" w:color="auto" w:fill="E1DFDD"/>
    </w:rPr>
  </w:style>
  <w:style w:type="character" w:customStyle="1" w:styleId="76">
    <w:name w:val="日期 字符"/>
    <w:basedOn w:val="41"/>
    <w:link w:val="24"/>
    <w:autoRedefine/>
    <w:semiHidden/>
    <w:qFormat/>
    <w:uiPriority w:val="99"/>
    <w:rPr>
      <w:rFonts w:ascii="Times New Roman" w:hAnsi="Times New Roman" w:eastAsia="宋体" w:cs="Times New Roman"/>
      <w:kern w:val="0"/>
      <w:szCs w:val="20"/>
    </w:rPr>
  </w:style>
  <w:style w:type="character" w:customStyle="1" w:styleId="77">
    <w:name w:val="正文缩进 字符"/>
    <w:link w:val="4"/>
    <w:autoRedefine/>
    <w:qFormat/>
    <w:uiPriority w:val="0"/>
    <w:rPr>
      <w:rFonts w:ascii="宋体"/>
      <w:sz w:val="24"/>
    </w:rPr>
  </w:style>
  <w:style w:type="character" w:customStyle="1" w:styleId="78">
    <w:name w:val="正文文本 字符"/>
    <w:basedOn w:val="41"/>
    <w:link w:val="18"/>
    <w:autoRedefine/>
    <w:qFormat/>
    <w:uiPriority w:val="0"/>
    <w:rPr>
      <w:rFonts w:ascii="Times New Roman" w:hAnsi="Times New Roman" w:eastAsia="宋体" w:cs="Times New Roman"/>
      <w:kern w:val="0"/>
      <w:szCs w:val="20"/>
    </w:rPr>
  </w:style>
  <w:style w:type="paragraph" w:customStyle="1" w:styleId="79">
    <w:name w:val="Char Char Char Char Char Char Char Char"/>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0">
    <w:name w:val="WPSOffice手动目录 1"/>
    <w:autoRedefine/>
    <w:qFormat/>
    <w:uiPriority w:val="0"/>
    <w:rPr>
      <w:rFonts w:ascii="Times New Roman" w:hAnsi="Times New Roman" w:eastAsia="宋体" w:cs="Times New Roman"/>
      <w:lang w:val="en-US" w:eastAsia="zh-CN" w:bidi="ar-SA"/>
    </w:rPr>
  </w:style>
  <w:style w:type="paragraph" w:customStyle="1" w:styleId="81">
    <w:name w:val="Char Char Char Char Char Char Char Char1"/>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2">
    <w:name w:val="Char Char Char Char Char Char Char Char2"/>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3">
    <w:name w:val="Char Char Char Char Char Char Char Char3"/>
    <w:basedOn w:val="1"/>
    <w:autoRedefine/>
    <w:qFormat/>
    <w:uiPriority w:val="0"/>
    <w:pPr>
      <w:adjustRightInd/>
      <w:spacing w:after="160" w:line="240" w:lineRule="exact"/>
      <w:jc w:val="left"/>
    </w:pPr>
    <w:rPr>
      <w:rFonts w:ascii="Calibri" w:hAnsi="Calibri" w:eastAsia="微软雅黑"/>
      <w:kern w:val="2"/>
      <w:szCs w:val="22"/>
    </w:rPr>
  </w:style>
  <w:style w:type="character" w:customStyle="1" w:styleId="84">
    <w:name w:val="正文首行缩进 2 字符"/>
    <w:basedOn w:val="61"/>
    <w:link w:val="5"/>
    <w:autoRedefine/>
    <w:qFormat/>
    <w:uiPriority w:val="0"/>
    <w:rPr>
      <w:rFonts w:ascii="Times New Roman" w:hAnsi="Times New Roman" w:eastAsia="宋体" w:cs="Times New Roman"/>
      <w:kern w:val="0"/>
      <w:sz w:val="20"/>
      <w:szCs w:val="24"/>
      <w:lang w:bidi="he-IL"/>
    </w:rPr>
  </w:style>
  <w:style w:type="character" w:customStyle="1" w:styleId="85">
    <w:name w:val="正文首行缩进 字符"/>
    <w:basedOn w:val="78"/>
    <w:link w:val="38"/>
    <w:autoRedefine/>
    <w:semiHidden/>
    <w:qFormat/>
    <w:uiPriority w:val="99"/>
    <w:rPr>
      <w:rFonts w:ascii="Times New Roman" w:hAnsi="Times New Roman" w:eastAsia="宋体" w:cs="Times New Roman"/>
      <w:kern w:val="0"/>
      <w:szCs w:val="20"/>
    </w:rPr>
  </w:style>
  <w:style w:type="paragraph" w:customStyle="1" w:styleId="86">
    <w:name w:val="msonormal"/>
    <w:basedOn w:val="1"/>
    <w:autoRedefine/>
    <w:qFormat/>
    <w:uiPriority w:val="0"/>
    <w:pPr>
      <w:widowControl/>
      <w:adjustRightInd/>
      <w:spacing w:before="100" w:beforeAutospacing="1" w:after="100" w:afterAutospacing="1" w:line="240" w:lineRule="auto"/>
      <w:jc w:val="left"/>
    </w:pPr>
    <w:rPr>
      <w:rFonts w:ascii="宋体" w:hAnsi="宋体" w:cs="宋体"/>
      <w:sz w:val="24"/>
      <w:szCs w:val="24"/>
    </w:rPr>
  </w:style>
  <w:style w:type="paragraph" w:customStyle="1" w:styleId="87">
    <w:name w:val="font5"/>
    <w:basedOn w:val="1"/>
    <w:autoRedefine/>
    <w:qFormat/>
    <w:uiPriority w:val="0"/>
    <w:pPr>
      <w:widowControl/>
      <w:adjustRightInd/>
      <w:spacing w:before="100" w:beforeAutospacing="1" w:after="100" w:afterAutospacing="1" w:line="240" w:lineRule="auto"/>
      <w:jc w:val="left"/>
    </w:pPr>
    <w:rPr>
      <w:rFonts w:ascii="等线" w:hAnsi="等线" w:eastAsia="等线" w:cs="宋体"/>
      <w:sz w:val="18"/>
      <w:szCs w:val="18"/>
    </w:rPr>
  </w:style>
  <w:style w:type="paragraph" w:customStyle="1" w:styleId="88">
    <w:name w:val="xl63"/>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89">
    <w:name w:val="xl65"/>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90">
    <w:name w:val="xl66"/>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color w:val="000000"/>
      <w:sz w:val="20"/>
    </w:rPr>
  </w:style>
  <w:style w:type="paragraph" w:customStyle="1" w:styleId="91">
    <w:name w:val="xl67"/>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92">
    <w:name w:val="xl68"/>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3">
    <w:name w:val="xl69"/>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94">
    <w:name w:val="xl7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5">
    <w:name w:val="xl71"/>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96">
    <w:name w:val="xl72"/>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97">
    <w:name w:val="xl73"/>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98">
    <w:name w:val="xl74"/>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99">
    <w:name w:val="xl75"/>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0">
    <w:name w:val="xl76"/>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01">
    <w:name w:val="xl77"/>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4"/>
      <w:szCs w:val="24"/>
    </w:rPr>
  </w:style>
  <w:style w:type="paragraph" w:customStyle="1" w:styleId="102">
    <w:name w:val="xl78"/>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03">
    <w:name w:val="xl79"/>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Cs w:val="21"/>
    </w:rPr>
  </w:style>
  <w:style w:type="paragraph" w:customStyle="1" w:styleId="104">
    <w:name w:val="xl80"/>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right"/>
      <w:textAlignment w:val="center"/>
    </w:pPr>
    <w:rPr>
      <w:rFonts w:ascii="宋体" w:hAnsi="宋体" w:cs="宋体"/>
      <w:sz w:val="20"/>
    </w:rPr>
  </w:style>
  <w:style w:type="paragraph" w:customStyle="1" w:styleId="105">
    <w:name w:val="xl81"/>
    <w:basedOn w:val="1"/>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06">
    <w:name w:val="xl82"/>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07">
    <w:name w:val="xl83"/>
    <w:basedOn w:val="1"/>
    <w:autoRedefine/>
    <w:qFormat/>
    <w:uiPriority w:val="0"/>
    <w:pPr>
      <w:widowControl/>
      <w:pBdr>
        <w:top w:val="single" w:color="auto" w:sz="4" w:space="0"/>
        <w:left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8">
    <w:name w:val="xl84"/>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9">
    <w:name w:val="xl85"/>
    <w:basedOn w:val="1"/>
    <w:qFormat/>
    <w:uiPriority w:val="0"/>
    <w:pPr>
      <w:widowControl/>
      <w:pBdr>
        <w:top w:val="single" w:color="auto" w:sz="4" w:space="0"/>
        <w:bottom w:val="single" w:color="auto" w:sz="4" w:space="0"/>
      </w:pBdr>
      <w:adjustRightInd/>
      <w:spacing w:before="100" w:beforeAutospacing="1" w:after="100" w:afterAutospacing="1" w:line="240" w:lineRule="auto"/>
      <w:jc w:val="right"/>
      <w:textAlignment w:val="center"/>
    </w:pPr>
    <w:rPr>
      <w:rFonts w:ascii="宋体" w:hAnsi="宋体" w:cs="宋体"/>
      <w:sz w:val="24"/>
      <w:szCs w:val="24"/>
    </w:rPr>
  </w:style>
  <w:style w:type="paragraph" w:customStyle="1" w:styleId="110">
    <w:name w:val="xl86"/>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1">
    <w:name w:val="xl87"/>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12">
    <w:name w:val="xl88"/>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3">
    <w:name w:val="xl89"/>
    <w:basedOn w:val="1"/>
    <w:autoRedefine/>
    <w:qFormat/>
    <w:uiPriority w:val="0"/>
    <w:pPr>
      <w:widowControl/>
      <w:pBdr>
        <w:top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4">
    <w:name w:val="xl9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character" w:customStyle="1" w:styleId="115">
    <w:name w:val="批注文字 字符"/>
    <w:basedOn w:val="41"/>
    <w:link w:val="16"/>
    <w:autoRedefine/>
    <w:qFormat/>
    <w:uiPriority w:val="0"/>
    <w:rPr>
      <w:rFonts w:ascii="Times New Roman" w:hAnsi="Times New Roman" w:eastAsia="宋体" w:cs="Times New Roman"/>
      <w:kern w:val="0"/>
      <w:sz w:val="20"/>
      <w:szCs w:val="20"/>
    </w:rPr>
  </w:style>
  <w:style w:type="character" w:customStyle="1" w:styleId="116">
    <w:name w:val="纯文本 字符"/>
    <w:basedOn w:val="41"/>
    <w:link w:val="22"/>
    <w:autoRedefine/>
    <w:qFormat/>
    <w:uiPriority w:val="0"/>
    <w:rPr>
      <w:rFonts w:ascii="宋体" w:hAnsi="Courier New" w:eastAsia="宋体" w:cs="Times New Roman"/>
      <w:kern w:val="0"/>
      <w:szCs w:val="20"/>
    </w:rPr>
  </w:style>
  <w:style w:type="character" w:customStyle="1" w:styleId="117">
    <w:name w:val="信息标题 字符"/>
    <w:basedOn w:val="41"/>
    <w:link w:val="35"/>
    <w:autoRedefine/>
    <w:qFormat/>
    <w:uiPriority w:val="0"/>
    <w:rPr>
      <w:rFonts w:ascii="Cambria" w:hAnsi="Cambria" w:eastAsia="宋体" w:cs="Times New Roman"/>
      <w:sz w:val="24"/>
      <w:szCs w:val="20"/>
      <w:shd w:val="pct20" w:color="auto" w:fill="auto"/>
    </w:rPr>
  </w:style>
  <w:style w:type="character" w:customStyle="1" w:styleId="118">
    <w:name w:val="font41"/>
    <w:basedOn w:val="41"/>
    <w:autoRedefine/>
    <w:qFormat/>
    <w:uiPriority w:val="0"/>
    <w:rPr>
      <w:rFonts w:hint="eastAsia" w:ascii="黑体" w:eastAsia="黑体" w:cs="黑体"/>
      <w:color w:val="000000"/>
      <w:sz w:val="18"/>
      <w:szCs w:val="18"/>
      <w:u w:val="none"/>
    </w:rPr>
  </w:style>
  <w:style w:type="character" w:customStyle="1" w:styleId="119">
    <w:name w:val="font31"/>
    <w:autoRedefine/>
    <w:qFormat/>
    <w:uiPriority w:val="0"/>
    <w:rPr>
      <w:rFonts w:hint="eastAsia" w:ascii="宋体" w:hAnsi="宋体" w:eastAsia="宋体" w:cs="宋体"/>
      <w:color w:val="000000"/>
      <w:sz w:val="18"/>
      <w:szCs w:val="18"/>
      <w:u w:val="none"/>
    </w:rPr>
  </w:style>
  <w:style w:type="character" w:customStyle="1" w:styleId="120">
    <w:name w:val="NormalCharacter"/>
    <w:autoRedefine/>
    <w:semiHidden/>
    <w:qFormat/>
    <w:uiPriority w:val="0"/>
    <w:rPr>
      <w:rFonts w:ascii="Calibri" w:hAnsi="Calibri" w:cs="新宋体"/>
      <w:b/>
      <w:bCs/>
      <w:kern w:val="2"/>
      <w:sz w:val="28"/>
      <w:szCs w:val="36"/>
      <w:lang w:val="en-US" w:eastAsia="zh-CN" w:bidi="ar-SA"/>
    </w:rPr>
  </w:style>
  <w:style w:type="character" w:customStyle="1" w:styleId="121">
    <w:name w:val="font11"/>
    <w:basedOn w:val="41"/>
    <w:autoRedefine/>
    <w:qFormat/>
    <w:uiPriority w:val="0"/>
    <w:rPr>
      <w:rFonts w:hint="eastAsia" w:ascii="宋体" w:hAnsi="宋体" w:eastAsia="宋体"/>
      <w:b/>
      <w:color w:val="000000"/>
      <w:kern w:val="2"/>
      <w:sz w:val="18"/>
      <w:u w:val="none"/>
    </w:rPr>
  </w:style>
  <w:style w:type="paragraph" w:customStyle="1" w:styleId="122">
    <w:name w:val="模板普通正文"/>
    <w:basedOn w:val="6"/>
    <w:autoRedefine/>
    <w:qFormat/>
    <w:uiPriority w:val="0"/>
    <w:pPr>
      <w:adjustRightInd/>
      <w:spacing w:beforeLines="50" w:after="10" w:line="240" w:lineRule="auto"/>
      <w:ind w:left="0" w:firstLine="490" w:firstLineChars="175"/>
    </w:pPr>
    <w:rPr>
      <w:kern w:val="2"/>
      <w:lang w:bidi="ar-SA"/>
    </w:rPr>
  </w:style>
  <w:style w:type="paragraph" w:customStyle="1" w:styleId="123">
    <w:name w:val="正文 New New New New"/>
    <w:autoRedefine/>
    <w:qFormat/>
    <w:uiPriority w:val="0"/>
    <w:pPr>
      <w:widowControl w:val="0"/>
      <w:jc w:val="both"/>
    </w:pPr>
    <w:rPr>
      <w:rFonts w:ascii="Times New Roman" w:hAnsi="Times New Roman" w:eastAsia="宋体" w:cs="Times New Roman"/>
      <w:szCs w:val="24"/>
      <w:lang w:val="en-US" w:eastAsia="zh-CN" w:bidi="ar-SA"/>
    </w:rPr>
  </w:style>
  <w:style w:type="paragraph" w:customStyle="1" w:styleId="124">
    <w:name w:val="Char Char Char Char Char Char Char1 Char"/>
    <w:basedOn w:val="1"/>
    <w:autoRedefine/>
    <w:qFormat/>
    <w:uiPriority w:val="0"/>
    <w:pPr>
      <w:adjustRightInd/>
      <w:spacing w:line="240" w:lineRule="auto"/>
    </w:pPr>
    <w:rPr>
      <w:rFonts w:ascii="Tahoma" w:hAnsi="Tahoma"/>
      <w:kern w:val="2"/>
      <w:sz w:val="24"/>
    </w:rPr>
  </w:style>
  <w:style w:type="paragraph" w:customStyle="1" w:styleId="125">
    <w:name w:val="无间隔1"/>
    <w:autoRedefine/>
    <w:qFormat/>
    <w:uiPriority w:val="1"/>
    <w:rPr>
      <w:rFonts w:ascii="Calibri" w:hAnsi="Calibri" w:eastAsia="宋体" w:cs="黑体"/>
      <w:sz w:val="22"/>
      <w:szCs w:val="22"/>
      <w:lang w:val="en-US" w:eastAsia="zh-CN" w:bidi="ar-SA"/>
    </w:rPr>
  </w:style>
  <w:style w:type="character" w:customStyle="1" w:styleId="126">
    <w:name w:val="正文文本缩进 3 字符"/>
    <w:basedOn w:val="41"/>
    <w:link w:val="32"/>
    <w:autoRedefine/>
    <w:semiHidden/>
    <w:qFormat/>
    <w:uiPriority w:val="99"/>
    <w:rPr>
      <w:rFonts w:ascii="Times New Roman" w:hAnsi="Times New Roman" w:eastAsia="宋体" w:cs="Times New Roman"/>
      <w:kern w:val="0"/>
      <w:sz w:val="16"/>
      <w:szCs w:val="16"/>
    </w:rPr>
  </w:style>
  <w:style w:type="paragraph" w:customStyle="1" w:styleId="127">
    <w:name w:val="文本"/>
    <w:basedOn w:val="1"/>
    <w:link w:val="128"/>
    <w:autoRedefine/>
    <w:qFormat/>
    <w:uiPriority w:val="0"/>
    <w:pPr>
      <w:adjustRightInd/>
      <w:spacing w:line="360" w:lineRule="auto"/>
      <w:ind w:firstLine="480" w:firstLineChars="200"/>
    </w:pPr>
    <w:rPr>
      <w:rFonts w:ascii="仿宋_GB2312" w:eastAsia="仿宋_GB2312"/>
      <w:kern w:val="2"/>
      <w:sz w:val="24"/>
      <w:szCs w:val="24"/>
    </w:rPr>
  </w:style>
  <w:style w:type="character" w:customStyle="1" w:styleId="128">
    <w:name w:val="文本 Char"/>
    <w:link w:val="127"/>
    <w:autoRedefine/>
    <w:qFormat/>
    <w:uiPriority w:val="0"/>
    <w:rPr>
      <w:rFonts w:ascii="仿宋_GB2312" w:hAnsi="Times New Roman" w:eastAsia="仿宋_GB2312" w:cs="Times New Roman"/>
      <w:sz w:val="24"/>
      <w:szCs w:val="24"/>
    </w:rPr>
  </w:style>
  <w:style w:type="paragraph" w:customStyle="1" w:styleId="129">
    <w:name w:val="TJ方案正文"/>
    <w:basedOn w:val="1"/>
    <w:autoRedefine/>
    <w:qFormat/>
    <w:uiPriority w:val="0"/>
    <w:pPr>
      <w:adjustRightInd/>
      <w:spacing w:line="360" w:lineRule="auto"/>
      <w:ind w:firstLine="476" w:firstLineChars="200"/>
    </w:pPr>
    <w:rPr>
      <w:rFonts w:ascii="Calibri" w:hAnsi="Calibri"/>
      <w:kern w:val="2"/>
      <w:sz w:val="24"/>
      <w:szCs w:val="24"/>
    </w:rPr>
  </w:style>
  <w:style w:type="paragraph" w:styleId="130">
    <w:name w:val="No Spacing"/>
    <w:autoRedefine/>
    <w:qFormat/>
    <w:uiPriority w:val="1"/>
    <w:pPr>
      <w:widowControl w:val="0"/>
      <w:spacing w:line="360" w:lineRule="auto"/>
      <w:jc w:val="both"/>
    </w:pPr>
    <w:rPr>
      <w:rFonts w:ascii="Times New Roman" w:hAnsi="Times New Roman" w:eastAsia="宋体" w:cs="Times New Roman"/>
      <w:kern w:val="2"/>
      <w:sz w:val="21"/>
      <w:szCs w:val="24"/>
      <w:lang w:val="en-US" w:eastAsia="zh-CN" w:bidi="ar-SA"/>
    </w:rPr>
  </w:style>
  <w:style w:type="paragraph" w:customStyle="1" w:styleId="131">
    <w:name w:val="D&amp;L"/>
    <w:basedOn w:val="28"/>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132">
    <w:name w:val="网格型1"/>
    <w:basedOn w:val="3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2.png"/><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01247E-442F-4284-9537-DBA7EB3153D2}">
  <ds:schemaRefs/>
</ds:datastoreItem>
</file>

<file path=docProps/app.xml><?xml version="1.0" encoding="utf-8"?>
<Properties xmlns="http://schemas.openxmlformats.org/officeDocument/2006/extended-properties" xmlns:vt="http://schemas.openxmlformats.org/officeDocument/2006/docPropsVTypes">
  <Template>Normal</Template>
  <Manager>陈婷</Manager>
  <Company>南京索象环境科技有限公司</Company>
  <Pages>52</Pages>
  <Words>21779</Words>
  <Characters>23061</Characters>
  <Lines>29</Lines>
  <Paragraphs>8</Paragraphs>
  <TotalTime>2</TotalTime>
  <ScaleCrop>false</ScaleCrop>
  <LinksUpToDate>false</LinksUpToDate>
  <CharactersWithSpaces>25817</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2015-02-04T14:38:00Z</dcterms:created>
  <dc:creator>sosum</dc:creator>
  <dc:description>sosum</dc:description>
  <cp:lastModifiedBy>品诺酒店用品</cp:lastModifiedBy>
  <cp:lastPrinted>2022-08-19T09:30:00Z</cp:lastPrinted>
  <dcterms:modified xsi:type="dcterms:W3CDTF">2024-08-30T02:27:39Z</dcterms:modified>
  <dc:subject>合同文本</dc:subject>
  <cp:revision>721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202C8088630B4178814F9DD180159EAB_13</vt:lpwstr>
  </property>
</Properties>
</file>