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4BB8684">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eastAsia="zh-CN"/>
        </w:rPr>
        <w:t>桐城师范高等专科学校</w:t>
      </w:r>
      <w:r>
        <w:rPr>
          <w:rFonts w:hint="eastAsia" w:ascii="宋体" w:hAnsi="宋体" w:cs="宋体"/>
          <w:b/>
          <w:color w:val="auto"/>
          <w:sz w:val="44"/>
          <w:szCs w:val="44"/>
          <w:highlight w:val="none"/>
          <w:lang w:val="en-US" w:eastAsia="zh-CN"/>
        </w:rPr>
        <w:t>学生实习责任保险</w:t>
      </w:r>
    </w:p>
    <w:p w14:paraId="71B6110E">
      <w:pPr>
        <w:spacing w:line="360" w:lineRule="auto"/>
        <w:jc w:val="center"/>
        <w:rPr>
          <w:rFonts w:hint="default"/>
          <w:color w:val="auto"/>
          <w:sz w:val="44"/>
          <w:szCs w:val="44"/>
          <w:highlight w:val="none"/>
          <w:lang w:val="en-US"/>
        </w:rPr>
      </w:pPr>
      <w:r>
        <w:rPr>
          <w:rFonts w:hint="eastAsia" w:ascii="宋体" w:hAnsi="宋体" w:cs="宋体"/>
          <w:b/>
          <w:color w:val="auto"/>
          <w:sz w:val="44"/>
          <w:szCs w:val="44"/>
          <w:highlight w:val="none"/>
          <w:lang w:val="en-US" w:eastAsia="zh-CN"/>
        </w:rPr>
        <w:t>采购项目</w:t>
      </w:r>
    </w:p>
    <w:p w14:paraId="65A287D0">
      <w:pPr>
        <w:spacing w:line="480" w:lineRule="exact"/>
        <w:rPr>
          <w:rFonts w:ascii="宋体"/>
          <w:color w:val="auto"/>
          <w:sz w:val="44"/>
          <w:szCs w:val="44"/>
          <w:highlight w:val="none"/>
        </w:rPr>
      </w:pPr>
    </w:p>
    <w:p w14:paraId="5550E19F">
      <w:pPr>
        <w:pStyle w:val="82"/>
      </w:pPr>
    </w:p>
    <w:p w14:paraId="67D512C5">
      <w:pPr>
        <w:pStyle w:val="81"/>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012</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05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1"/>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D5C7722">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1D6B64A2">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桐城师范高等专科学校学生实习责任保险采购项目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桐城师范高等专科学校学生实习责任保险采购项目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6 月 3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798"/>
      <w:bookmarkStart w:id="8" w:name="_Toc28359012"/>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012</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桐城师范高等专科学校学生实习责任保险采购项目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一包：半年期15元/人；二包：一年期30元/人。</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一包：半年期15元/人；二包：一年期30元/人。</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桐城师范高等专科学校学生实习责任保险采购项目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合同履行期限：半年期自保险合同签订至</w:t>
      </w:r>
      <w:r>
        <w:rPr>
          <w:rFonts w:hint="eastAsia" w:ascii="仿宋" w:hAnsi="仿宋" w:eastAsia="仿宋"/>
          <w:color w:val="auto"/>
          <w:sz w:val="28"/>
          <w:szCs w:val="28"/>
          <w:highlight w:val="none"/>
          <w:lang w:val="en-US" w:eastAsia="zh-CN"/>
        </w:rPr>
        <w:t>6个月后</w:t>
      </w:r>
      <w:r>
        <w:rPr>
          <w:rFonts w:hint="eastAsia" w:ascii="仿宋" w:hAnsi="仿宋" w:eastAsia="仿宋"/>
          <w:color w:val="auto"/>
          <w:sz w:val="28"/>
          <w:szCs w:val="28"/>
          <w:highlight w:val="none"/>
        </w:rPr>
        <w:t>结束</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一年期自保险合同签订至</w:t>
      </w:r>
      <w:r>
        <w:rPr>
          <w:rFonts w:hint="eastAsia" w:ascii="仿宋" w:hAnsi="仿宋" w:eastAsia="仿宋"/>
          <w:color w:val="auto"/>
          <w:sz w:val="28"/>
          <w:szCs w:val="28"/>
          <w:highlight w:val="none"/>
          <w:lang w:val="en-US" w:eastAsia="zh-CN"/>
        </w:rPr>
        <w:t xml:space="preserve">12个月后结束。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35393630"/>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91"/>
      <w:bookmarkStart w:id="16" w:name="_Toc35393800"/>
      <w:bookmarkStart w:id="17" w:name="_Toc28359014"/>
      <w:bookmarkStart w:id="18" w:name="_Toc35393631"/>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须具有保险行业监管部门颁发的有效的《经营保险业务许可证》或《保险许可证》，投标时需提供影印件。注：分支机构须取得总公司的相关授权或出具总公司的有关文件、制度等能够证明总公司授权其独立开展业务的证明（响应文件中须提供证明材料影印件），谈判文件中关于法定代表人的要求事项可由分支机构负责人代理。同一总公司的分支机构不能同时参与本项目的谈判；</w:t>
      </w:r>
    </w:p>
    <w:p w14:paraId="1B1F8ECC">
      <w:pPr>
        <w:spacing w:line="420" w:lineRule="exact"/>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4.本项目包含两个标段：一包：半年期保险；二包：一年期保险。</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3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28359092"/>
      <w:bookmarkStart w:id="21" w:name="_Toc28359015"/>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28359093"/>
      <w:bookmarkStart w:id="25" w:name="_Toc35393802"/>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3 </w:t>
      </w:r>
      <w:r>
        <w:rPr>
          <w:rFonts w:hint="eastAsia" w:ascii="仿宋" w:hAnsi="仿宋" w:eastAsia="仿宋" w:cs="仿宋"/>
          <w:b w:val="0"/>
          <w:bCs/>
          <w:color w:val="auto"/>
          <w:sz w:val="28"/>
          <w:szCs w:val="28"/>
          <w:highlight w:val="none"/>
        </w:rPr>
        <w:t>日9时00分</w:t>
      </w:r>
    </w:p>
    <w:p w14:paraId="483ECCE2">
      <w:pPr>
        <w:ind w:firstLine="560" w:firstLineChars="200"/>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安徽建方工程造价有限公司二楼会议室</w:t>
      </w:r>
    </w:p>
    <w:p w14:paraId="7B2D324D">
      <w:pPr>
        <w:ind w:firstLine="1400" w:firstLineChars="500"/>
        <w:rPr>
          <w:rFonts w:hint="eastAsia"/>
          <w:lang w:eastAsia="zh-CN"/>
        </w:rPr>
      </w:pPr>
      <w:r>
        <w:rPr>
          <w:rFonts w:hint="eastAsia" w:ascii="仿宋" w:hAnsi="仿宋" w:eastAsia="仿宋" w:cs="仿宋"/>
          <w:b w:val="0"/>
          <w:bCs/>
          <w:color w:val="auto"/>
          <w:sz w:val="28"/>
          <w:szCs w:val="28"/>
          <w:highlight w:val="none"/>
          <w:lang w:eastAsia="zh-CN"/>
        </w:rPr>
        <w:t>（桐城市龙眠东路261号）</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634"/>
      <w:bookmarkStart w:id="28" w:name="_Toc28359094"/>
      <w:bookmarkStart w:id="29" w:name="_Toc28359017"/>
      <w:bookmarkStart w:id="30" w:name="_Toc35393803"/>
      <w:r>
        <w:rPr>
          <w:rFonts w:hint="eastAsia" w:ascii="仿宋" w:hAnsi="仿宋" w:eastAsia="仿宋"/>
          <w:color w:val="auto"/>
          <w:sz w:val="28"/>
          <w:szCs w:val="28"/>
          <w:highlight w:val="none"/>
          <w:lang w:val="en-US" w:eastAsia="zh-CN"/>
        </w:rPr>
        <w:t>时间：2025年 6 月 3 日9时00分</w:t>
      </w:r>
    </w:p>
    <w:p w14:paraId="677DC9EF">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地点：安徽建方工程造价有限公司二楼会议室</w:t>
      </w:r>
    </w:p>
    <w:p w14:paraId="2246185D">
      <w:pPr>
        <w:pStyle w:val="82"/>
        <w:ind w:firstLine="1400" w:firstLineChars="500"/>
        <w:rPr>
          <w:rFonts w:hint="default"/>
          <w:lang w:val="en-US" w:eastAsia="zh-CN"/>
        </w:rPr>
      </w:pPr>
      <w:r>
        <w:rPr>
          <w:rFonts w:hint="eastAsia" w:ascii="仿宋" w:hAnsi="仿宋" w:eastAsia="仿宋"/>
          <w:color w:val="auto"/>
          <w:sz w:val="28"/>
          <w:szCs w:val="28"/>
          <w:highlight w:val="none"/>
          <w:lang w:val="en-US" w:eastAsia="zh-CN"/>
        </w:rPr>
        <w:t>（桐城市龙眠东路261号）</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AF73E49">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地址：安徽建方工程造价有限公司二楼会议室</w:t>
      </w:r>
    </w:p>
    <w:p w14:paraId="545905B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（桐城市龙眠东路261号） </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r>
        <w:rPr>
          <w:rFonts w:hint="eastAsia" w:ascii="宋体" w:hAnsi="宋体" w:eastAsia="宋体" w:cs="宋体"/>
          <w:i w:val="0"/>
          <w:iCs w:val="0"/>
          <w:caps w:val="0"/>
          <w:color w:val="333333"/>
          <w:spacing w:val="0"/>
          <w:sz w:val="27"/>
          <w:szCs w:val="27"/>
          <w:shd w:val="clear" w:fill="FFFFFF"/>
        </w:rPr>
        <w:t>16655617228</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54941329"/>
      <w:bookmarkStart w:id="35" w:name="_Toc2606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17862"/>
      <w:bookmarkStart w:id="38" w:name="_Toc54941330"/>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两个包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25270"/>
      <w:bookmarkStart w:id="44" w:name="_Toc15055"/>
      <w:bookmarkStart w:id="45" w:name="_Toc10523"/>
      <w:bookmarkStart w:id="46" w:name="_Toc7325"/>
      <w:bookmarkStart w:id="47" w:name="_Toc21078"/>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8228"/>
      <w:bookmarkStart w:id="51" w:name="_Toc439316920"/>
      <w:bookmarkStart w:id="52" w:name="_Toc27113"/>
      <w:bookmarkStart w:id="53" w:name="_Toc24643"/>
      <w:bookmarkStart w:id="54" w:name="_Toc10933"/>
      <w:bookmarkStart w:id="55" w:name="_Toc43931687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20E9133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1"/>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1"/>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1"/>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按实际投保人数计算和支付保险费用</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三年</w:t>
            </w:r>
            <w:bookmarkStart w:id="127" w:name="_GoBack"/>
            <w:bookmarkEnd w:id="127"/>
          </w:p>
        </w:tc>
      </w:tr>
    </w:tbl>
    <w:p w14:paraId="08AFCB4E">
      <w:pPr>
        <w:pStyle w:val="4"/>
        <w:keepNext/>
        <w:keepLines/>
        <w:pageBreakBefore w:val="0"/>
        <w:widowControl w:val="0"/>
        <w:numPr>
          <w:ilvl w:val="0"/>
          <w:numId w:val="6"/>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p w14:paraId="2DB0B91A">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right="62" w:firstLine="480" w:firstLineChars="200"/>
        <w:jc w:val="both"/>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lang w:val="en-US" w:eastAsia="zh-CN"/>
        </w:rPr>
        <w:t>一、</w:t>
      </w:r>
      <w:r>
        <w:rPr>
          <w:rFonts w:hint="eastAsia" w:ascii="宋体" w:hAnsi="宋体" w:eastAsia="宋体" w:cs="宋体"/>
          <w:i w:val="0"/>
          <w:caps w:val="0"/>
          <w:color w:val="333333"/>
          <w:spacing w:val="0"/>
          <w:sz w:val="24"/>
          <w:szCs w:val="24"/>
        </w:rPr>
        <w:t>项目概况</w:t>
      </w:r>
    </w:p>
    <w:p w14:paraId="22FACDB7">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default"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1.本项目</w:t>
      </w:r>
      <w:r>
        <w:rPr>
          <w:rFonts w:hint="eastAsia" w:ascii="宋体" w:hAnsi="宋体" w:eastAsia="宋体" w:cs="宋体"/>
          <w:i w:val="0"/>
          <w:caps w:val="0"/>
          <w:color w:val="333333"/>
          <w:spacing w:val="0"/>
          <w:sz w:val="24"/>
          <w:szCs w:val="24"/>
        </w:rPr>
        <w:t>保险日期分半年期和一年期</w:t>
      </w:r>
      <w:r>
        <w:rPr>
          <w:rFonts w:hint="eastAsia" w:ascii="宋体" w:hAnsi="宋体" w:eastAsia="宋体" w:cs="宋体"/>
          <w:i w:val="0"/>
          <w:caps w:val="0"/>
          <w:color w:val="333333"/>
          <w:spacing w:val="0"/>
          <w:sz w:val="24"/>
          <w:szCs w:val="24"/>
          <w:lang w:val="en-US" w:eastAsia="zh-CN"/>
        </w:rPr>
        <w:t>两个标段，请供应商分别报价</w:t>
      </w:r>
      <w:r>
        <w:rPr>
          <w:rFonts w:hint="eastAsia" w:ascii="宋体" w:hAnsi="宋体" w:eastAsia="宋体" w:cs="宋体"/>
          <w:i w:val="0"/>
          <w:caps w:val="0"/>
          <w:color w:val="333333"/>
          <w:spacing w:val="0"/>
          <w:sz w:val="24"/>
          <w:szCs w:val="24"/>
        </w:rPr>
        <w:t>，每人保额4万。半年期自保险合同签订至</w:t>
      </w:r>
      <w:r>
        <w:rPr>
          <w:rFonts w:hint="eastAsia" w:ascii="宋体" w:hAnsi="宋体" w:eastAsia="宋体" w:cs="宋体"/>
          <w:i w:val="0"/>
          <w:caps w:val="0"/>
          <w:color w:val="333333"/>
          <w:spacing w:val="0"/>
          <w:sz w:val="24"/>
          <w:szCs w:val="24"/>
          <w:lang w:val="en-US" w:eastAsia="zh-CN"/>
        </w:rPr>
        <w:t>6个月后</w:t>
      </w:r>
      <w:r>
        <w:rPr>
          <w:rFonts w:hint="eastAsia" w:ascii="宋体" w:hAnsi="宋体" w:eastAsia="宋体" w:cs="宋体"/>
          <w:i w:val="0"/>
          <w:caps w:val="0"/>
          <w:color w:val="333333"/>
          <w:spacing w:val="0"/>
          <w:sz w:val="24"/>
          <w:szCs w:val="24"/>
        </w:rPr>
        <w:t>结束；一年期自保险合同签订至</w:t>
      </w:r>
      <w:r>
        <w:rPr>
          <w:rFonts w:hint="eastAsia" w:ascii="宋体" w:hAnsi="宋体" w:eastAsia="宋体" w:cs="宋体"/>
          <w:i w:val="0"/>
          <w:caps w:val="0"/>
          <w:color w:val="333333"/>
          <w:spacing w:val="0"/>
          <w:sz w:val="24"/>
          <w:szCs w:val="24"/>
          <w:lang w:val="en-US" w:eastAsia="zh-CN"/>
        </w:rPr>
        <w:t>12个月后结束</w:t>
      </w:r>
      <w:r>
        <w:rPr>
          <w:rFonts w:hint="eastAsia" w:ascii="宋体" w:hAnsi="宋体" w:eastAsia="宋体" w:cs="宋体"/>
          <w:i w:val="0"/>
          <w:caps w:val="0"/>
          <w:color w:val="333333"/>
          <w:spacing w:val="0"/>
          <w:sz w:val="24"/>
          <w:szCs w:val="24"/>
        </w:rPr>
        <w:t>。</w:t>
      </w:r>
    </w:p>
    <w:p w14:paraId="444AEDE0">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default"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2.按每人确定保险所需费用，按实际投保人数计算和支付保险费用。</w:t>
      </w:r>
    </w:p>
    <w:p w14:paraId="2568BCE1">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3.预算金额：半年期15元/人；一年期30元/人。</w:t>
      </w:r>
    </w:p>
    <w:p w14:paraId="0E6E0613">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2025-2026学年   预估半年期500人；7500元</w:t>
      </w:r>
    </w:p>
    <w:p w14:paraId="271B54EC">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一年期1600人；48000元</w:t>
      </w:r>
    </w:p>
    <w:p w14:paraId="0B39CCF3">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2026-2027学年   预估半年期500人；7500元</w:t>
      </w:r>
    </w:p>
    <w:p w14:paraId="6CE57DDD">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一年期1600人；48000元</w:t>
      </w:r>
    </w:p>
    <w:p w14:paraId="65A89884">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2027-2028学年   预估半年期500人；7500元</w:t>
      </w:r>
    </w:p>
    <w:p w14:paraId="3153F44B">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 xml:space="preserve">                       一年期1600人；48000元</w:t>
      </w:r>
    </w:p>
    <w:p w14:paraId="4C987843">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default"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lang w:val="en-US" w:eastAsia="zh-CN"/>
        </w:rPr>
        <w:t>4.购买</w:t>
      </w:r>
      <w:r>
        <w:rPr>
          <w:rFonts w:hint="eastAsia" w:ascii="宋体" w:hAnsi="宋体" w:eastAsia="宋体" w:cs="宋体"/>
          <w:i w:val="0"/>
          <w:caps w:val="0"/>
          <w:color w:val="333333"/>
          <w:spacing w:val="0"/>
          <w:sz w:val="24"/>
          <w:szCs w:val="24"/>
        </w:rPr>
        <w:t>期限：</w:t>
      </w:r>
      <w:r>
        <w:rPr>
          <w:rFonts w:hint="eastAsia" w:ascii="宋体" w:hAnsi="宋体" w:eastAsia="宋体" w:cs="宋体"/>
          <w:i w:val="0"/>
          <w:caps w:val="0"/>
          <w:color w:val="333333"/>
          <w:spacing w:val="0"/>
          <w:sz w:val="24"/>
          <w:szCs w:val="24"/>
          <w:lang w:val="en-US" w:eastAsia="zh-CN"/>
        </w:rPr>
        <w:t>2025年7月-2028年7月</w:t>
      </w:r>
    </w:p>
    <w:p w14:paraId="63D6FCFE">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left="60" w:right="62" w:firstLine="420"/>
        <w:jc w:val="both"/>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lang w:val="en-US" w:eastAsia="zh-CN"/>
        </w:rPr>
        <w:t>二、</w:t>
      </w:r>
      <w:r>
        <w:rPr>
          <w:rFonts w:hint="eastAsia" w:ascii="宋体" w:hAnsi="宋体" w:eastAsia="宋体" w:cs="宋体"/>
          <w:i w:val="0"/>
          <w:caps w:val="0"/>
          <w:color w:val="333333"/>
          <w:spacing w:val="0"/>
          <w:sz w:val="24"/>
          <w:szCs w:val="24"/>
        </w:rPr>
        <w:t>保险业务信息</w:t>
      </w:r>
    </w:p>
    <w:p w14:paraId="6CA1E0BE">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right="62" w:firstLine="480" w:firstLineChars="200"/>
        <w:jc w:val="both"/>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意外身故保险金：≥四万元/人。自意外发生之日起180日内因该意外伤害导致身故；意外残疾保险金：自意外伤害发生之日起180日内，因该意外伤害导致残疾，为《人身保险伤残评定标准（行业标准）》所列伤残程度之一，按：意外伤害残疾保险金=保险金额*身体残疾所对应的比例。</w:t>
      </w:r>
    </w:p>
    <w:p w14:paraId="08FF1287">
      <w:pPr>
        <w:pStyle w:val="5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480" w:lineRule="exact"/>
        <w:ind w:right="62" w:firstLine="480" w:firstLineChars="200"/>
        <w:jc w:val="both"/>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意外伤害保险金:实习期间学生受到意外伤害但未达到《人身保险伤残评定标准（行业标准）》所列伤残程度之一的，按照学生所受伤害治疗的所有费用（凭医疗机构的正规发票）的50%赔付（不超过四万元），在提交发票（或复印件）后30天内完成赔付工作。</w:t>
      </w:r>
    </w:p>
    <w:p w14:paraId="4796EE33">
      <w:pPr>
        <w:jc w:val="both"/>
        <w:rPr>
          <w:rFonts w:hint="eastAsia"/>
          <w:b/>
          <w:sz w:val="30"/>
          <w:szCs w:val="30"/>
          <w:lang w:val="en-US" w:eastAsia="zh-CN"/>
        </w:rPr>
      </w:pPr>
    </w:p>
    <w:p w14:paraId="4480C07B">
      <w:pPr>
        <w:jc w:val="both"/>
        <w:rPr>
          <w:rFonts w:hint="eastAsia"/>
          <w:b/>
          <w:sz w:val="30"/>
          <w:szCs w:val="30"/>
          <w:lang w:val="en-US" w:eastAsia="zh-CN"/>
        </w:rPr>
      </w:pPr>
    </w:p>
    <w:p w14:paraId="29691661">
      <w:pPr>
        <w:jc w:val="both"/>
        <w:rPr>
          <w:rFonts w:hint="default"/>
          <w:b/>
          <w:sz w:val="30"/>
          <w:szCs w:val="30"/>
          <w:lang w:val="en-US" w:eastAsia="zh-CN"/>
        </w:rPr>
      </w:pPr>
    </w:p>
    <w:p w14:paraId="4F4F69DF">
      <w:pPr>
        <w:pStyle w:val="2"/>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146EB5DE">
      <w:pPr>
        <w:rPr>
          <w:rFonts w:hint="eastAsia" w:ascii="Arial" w:hAnsi="Arial"/>
          <w:color w:val="auto"/>
          <w:kern w:val="2"/>
          <w:sz w:val="32"/>
          <w:szCs w:val="32"/>
          <w:highlight w:val="none"/>
          <w:lang w:val="en-US" w:eastAsia="zh-CN"/>
        </w:rPr>
      </w:pPr>
    </w:p>
    <w:p w14:paraId="2B91CE10">
      <w:pPr>
        <w:pStyle w:val="3"/>
        <w:rPr>
          <w:rFonts w:hint="eastAsia" w:ascii="Arial" w:hAnsi="Arial"/>
          <w:color w:val="auto"/>
          <w:kern w:val="2"/>
          <w:sz w:val="32"/>
          <w:szCs w:val="32"/>
          <w:highlight w:val="none"/>
          <w:lang w:val="en-US" w:eastAsia="zh-CN"/>
        </w:rPr>
      </w:pPr>
    </w:p>
    <w:p w14:paraId="0C9C87BB">
      <w:pPr>
        <w:rPr>
          <w:rFonts w:hint="eastAsia" w:ascii="Arial" w:hAnsi="Arial"/>
          <w:color w:val="auto"/>
          <w:kern w:val="2"/>
          <w:sz w:val="32"/>
          <w:szCs w:val="32"/>
          <w:highlight w:val="none"/>
          <w:lang w:val="en-US" w:eastAsia="zh-CN"/>
        </w:rPr>
      </w:pPr>
    </w:p>
    <w:p w14:paraId="7937AF86">
      <w:pPr>
        <w:pStyle w:val="3"/>
        <w:rPr>
          <w:rFonts w:hint="eastAsia" w:ascii="Arial" w:hAnsi="Arial"/>
          <w:color w:val="auto"/>
          <w:kern w:val="2"/>
          <w:sz w:val="32"/>
          <w:szCs w:val="32"/>
          <w:highlight w:val="none"/>
          <w:lang w:val="en-US" w:eastAsia="zh-CN"/>
        </w:rPr>
      </w:pPr>
    </w:p>
    <w:p w14:paraId="41A97063">
      <w:pPr>
        <w:rPr>
          <w:rFonts w:hint="eastAsia" w:ascii="Arial" w:hAnsi="Arial"/>
          <w:color w:val="auto"/>
          <w:kern w:val="2"/>
          <w:sz w:val="32"/>
          <w:szCs w:val="32"/>
          <w:highlight w:val="none"/>
          <w:lang w:val="en-US" w:eastAsia="zh-CN"/>
        </w:rPr>
      </w:pPr>
    </w:p>
    <w:p w14:paraId="6E3B8ED2">
      <w:pPr>
        <w:rPr>
          <w:rFonts w:hint="eastAsia" w:ascii="Arial" w:hAnsi="Arial"/>
          <w:color w:val="auto"/>
          <w:kern w:val="2"/>
          <w:sz w:val="32"/>
          <w:szCs w:val="32"/>
          <w:highlight w:val="none"/>
          <w:lang w:val="en-US" w:eastAsia="zh-CN"/>
        </w:rPr>
      </w:pPr>
    </w:p>
    <w:p w14:paraId="409D9492">
      <w:pPr>
        <w:rPr>
          <w:rFonts w:hint="eastAsia" w:ascii="Arial" w:hAnsi="Arial"/>
          <w:color w:val="auto"/>
          <w:kern w:val="2"/>
          <w:sz w:val="32"/>
          <w:szCs w:val="32"/>
          <w:highlight w:val="none"/>
          <w:lang w:val="en-US" w:eastAsia="zh-CN"/>
        </w:rPr>
      </w:pPr>
    </w:p>
    <w:p w14:paraId="5A7510D4">
      <w:pPr>
        <w:rPr>
          <w:rFonts w:hint="eastAsia" w:ascii="Arial" w:hAnsi="Arial"/>
          <w:color w:val="auto"/>
          <w:kern w:val="2"/>
          <w:sz w:val="32"/>
          <w:szCs w:val="32"/>
          <w:highlight w:val="none"/>
          <w:lang w:val="en-US" w:eastAsia="zh-CN"/>
        </w:rPr>
      </w:pPr>
    </w:p>
    <w:p w14:paraId="0F933C9D">
      <w:pPr>
        <w:rPr>
          <w:rFonts w:hint="eastAsia" w:ascii="Arial" w:hAnsi="Arial"/>
          <w:color w:val="auto"/>
          <w:kern w:val="2"/>
          <w:sz w:val="32"/>
          <w:szCs w:val="32"/>
          <w:highlight w:val="none"/>
          <w:lang w:val="en-US" w:eastAsia="zh-CN"/>
        </w:rPr>
      </w:pPr>
    </w:p>
    <w:p w14:paraId="3C95565E">
      <w:pPr>
        <w:rPr>
          <w:rFonts w:hint="eastAsia" w:ascii="Arial" w:hAnsi="Arial"/>
          <w:color w:val="auto"/>
          <w:kern w:val="2"/>
          <w:sz w:val="32"/>
          <w:szCs w:val="32"/>
          <w:highlight w:val="none"/>
          <w:lang w:val="en-US" w:eastAsia="zh-CN"/>
        </w:rPr>
      </w:pPr>
    </w:p>
    <w:p w14:paraId="2C52FD00">
      <w:pPr>
        <w:rPr>
          <w:rFonts w:hint="eastAsia" w:ascii="Arial" w:hAnsi="Arial"/>
          <w:color w:val="auto"/>
          <w:kern w:val="2"/>
          <w:sz w:val="32"/>
          <w:szCs w:val="32"/>
          <w:highlight w:val="none"/>
          <w:lang w:val="en-US" w:eastAsia="zh-CN"/>
        </w:rPr>
      </w:pPr>
    </w:p>
    <w:p w14:paraId="330336BA">
      <w:pPr>
        <w:rPr>
          <w:rFonts w:hint="eastAsia" w:ascii="Arial" w:hAnsi="Arial"/>
          <w:color w:val="auto"/>
          <w:kern w:val="2"/>
          <w:sz w:val="32"/>
          <w:szCs w:val="32"/>
          <w:highlight w:val="none"/>
          <w:lang w:val="en-US" w:eastAsia="zh-CN"/>
        </w:rPr>
      </w:pPr>
    </w:p>
    <w:p w14:paraId="0739A52A">
      <w:pPr>
        <w:rPr>
          <w:rFonts w:hint="eastAsia"/>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7241"/>
      <w:bookmarkStart w:id="69" w:name="_Toc3977"/>
      <w:bookmarkStart w:id="70" w:name="_Toc27586"/>
      <w:bookmarkStart w:id="71" w:name="_Toc28300"/>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4A2D9FEF">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1"/>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1814"/>
      <w:bookmarkStart w:id="84" w:name="_Toc10340"/>
      <w:bookmarkStart w:id="85"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19304"/>
      <w:bookmarkStart w:id="87" w:name="_Toc2846"/>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1423"/>
      <w:bookmarkStart w:id="90" w:name="_Toc19554"/>
      <w:bookmarkStart w:id="91" w:name="_Toc27250"/>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28375"/>
      <w:bookmarkStart w:id="93" w:name="_Toc15583"/>
      <w:bookmarkStart w:id="94"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EA7CCE3">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1812"/>
      <w:bookmarkStart w:id="99" w:name="_Toc439316880"/>
      <w:bookmarkStart w:id="100" w:name="_Toc54941341"/>
      <w:bookmarkStart w:id="101" w:name="_Toc8981"/>
    </w:p>
    <w:p w14:paraId="3A07A625">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1"/>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1"/>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094CAABA">
      <w:pPr>
        <w:spacing w:line="480" w:lineRule="auto"/>
        <w:rPr>
          <w:rFonts w:ascii="宋体" w:cs="宋体"/>
          <w:color w:val="auto"/>
          <w:sz w:val="24"/>
          <w:highlight w:val="none"/>
        </w:rPr>
      </w:pPr>
    </w:p>
    <w:p w14:paraId="65F34A69">
      <w:pPr>
        <w:spacing w:line="480" w:lineRule="auto"/>
        <w:rPr>
          <w:rFonts w:ascii="宋体" w:cs="宋体"/>
          <w:color w:val="auto"/>
          <w:sz w:val="24"/>
          <w:highlight w:val="none"/>
        </w:rPr>
      </w:pPr>
    </w:p>
    <w:p w14:paraId="55E1C47A">
      <w:pPr>
        <w:spacing w:line="480" w:lineRule="auto"/>
        <w:rPr>
          <w:rFonts w:ascii="宋体" w:cs="宋体"/>
          <w:color w:val="auto"/>
          <w:sz w:val="24"/>
          <w:highlight w:val="none"/>
        </w:rPr>
      </w:pPr>
    </w:p>
    <w:p w14:paraId="7259228D">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476584434"/>
      <w:bookmarkStart w:id="107" w:name="_Toc54941343"/>
      <w:bookmarkStart w:id="108" w:name="_Toc28034"/>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cs="宋体"/>
          <w:color w:val="auto"/>
          <w:kern w:val="2"/>
          <w:sz w:val="28"/>
          <w:szCs w:val="28"/>
          <w:highlight w:val="none"/>
          <w:lang w:val="en-US" w:eastAsia="zh-CN" w:bidi="ar-SA"/>
        </w:rPr>
        <w:t>一包半年期保险：</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1225E874">
      <w:pPr>
        <w:rPr>
          <w:rFonts w:hint="eastAsia" w:hAnsi="宋体" w:cs="宋体"/>
          <w:color w:val="auto"/>
          <w:sz w:val="28"/>
          <w:szCs w:val="28"/>
          <w:highlight w:val="none"/>
          <w:lang w:val="en-US" w:eastAsia="zh-CN"/>
        </w:rPr>
      </w:pPr>
    </w:p>
    <w:p w14:paraId="21416FEA">
      <w:pPr>
        <w:rPr>
          <w:rFonts w:hint="eastAsia" w:hAnsi="宋体" w:cs="宋体"/>
          <w:color w:val="auto"/>
          <w:sz w:val="28"/>
          <w:szCs w:val="28"/>
          <w:highlight w:val="none"/>
          <w:lang w:val="en-US" w:eastAsia="zh-CN"/>
        </w:rPr>
      </w:pPr>
    </w:p>
    <w:p w14:paraId="490D3682">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cs="宋体"/>
          <w:color w:val="auto"/>
          <w:kern w:val="2"/>
          <w:sz w:val="28"/>
          <w:szCs w:val="28"/>
          <w:highlight w:val="none"/>
          <w:lang w:val="en-US" w:eastAsia="zh-CN" w:bidi="ar-SA"/>
        </w:rPr>
        <w:t>二包一年期保险：</w:t>
      </w:r>
      <w:r>
        <w:rPr>
          <w:rFonts w:hint="eastAsia" w:hAnsi="宋体" w:eastAsia="宋体" w:cs="宋体"/>
          <w:color w:val="auto"/>
          <w:kern w:val="2"/>
          <w:sz w:val="28"/>
          <w:szCs w:val="28"/>
          <w:highlight w:val="none"/>
          <w:lang w:val="en-US" w:eastAsia="zh-CN" w:bidi="ar-SA"/>
        </w:rPr>
        <w:t>首轮报价表</w:t>
      </w:r>
    </w:p>
    <w:p w14:paraId="0DBC2804">
      <w:pPr>
        <w:snapToGrid w:val="0"/>
        <w:spacing w:line="360" w:lineRule="auto"/>
        <w:jc w:val="left"/>
        <w:rPr>
          <w:rFonts w:hint="eastAsia" w:ascii="宋体" w:hAnsi="宋体" w:eastAsia="宋体"/>
          <w:b/>
          <w:color w:val="auto"/>
          <w:sz w:val="24"/>
          <w:szCs w:val="28"/>
          <w:highlight w:val="none"/>
        </w:rPr>
      </w:pPr>
    </w:p>
    <w:p w14:paraId="18A065D2">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6453AB66">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41F17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38EA12C">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4A7344A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378C4D01">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D6B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04D87105">
            <w:pPr>
              <w:spacing w:line="360" w:lineRule="auto"/>
              <w:jc w:val="center"/>
              <w:rPr>
                <w:rFonts w:ascii="宋体" w:hAnsi="宋体" w:eastAsia="宋体"/>
                <w:b/>
                <w:color w:val="auto"/>
                <w:sz w:val="24"/>
                <w:szCs w:val="24"/>
                <w:highlight w:val="none"/>
              </w:rPr>
            </w:pPr>
          </w:p>
        </w:tc>
        <w:tc>
          <w:tcPr>
            <w:tcW w:w="6606" w:type="dxa"/>
            <w:vAlign w:val="center"/>
          </w:tcPr>
          <w:p w14:paraId="1EBF7665">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299F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2BA222E1">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34C6DCD3">
            <w:pPr>
              <w:spacing w:line="360" w:lineRule="auto"/>
              <w:rPr>
                <w:rFonts w:ascii="宋体" w:hAnsi="宋体" w:eastAsia="宋体"/>
                <w:b/>
                <w:color w:val="auto"/>
                <w:sz w:val="24"/>
                <w:highlight w:val="none"/>
              </w:rPr>
            </w:pPr>
          </w:p>
        </w:tc>
      </w:tr>
    </w:tbl>
    <w:p w14:paraId="2720B600">
      <w:pPr>
        <w:pStyle w:val="4"/>
        <w:rPr>
          <w:color w:val="auto"/>
          <w:highlight w:val="none"/>
        </w:rPr>
      </w:pPr>
    </w:p>
    <w:p w14:paraId="01241680">
      <w:pPr>
        <w:spacing w:line="440" w:lineRule="exact"/>
        <w:ind w:firstLine="4800" w:firstLineChars="2000"/>
        <w:rPr>
          <w:rFonts w:hint="eastAsia" w:ascii="宋体" w:hAnsi="宋体" w:eastAsia="宋体"/>
          <w:color w:val="auto"/>
          <w:sz w:val="24"/>
          <w:szCs w:val="24"/>
          <w:highlight w:val="none"/>
        </w:rPr>
      </w:pPr>
    </w:p>
    <w:p w14:paraId="02553A52">
      <w:pPr>
        <w:spacing w:line="440" w:lineRule="exact"/>
        <w:ind w:firstLine="4800" w:firstLineChars="2000"/>
        <w:rPr>
          <w:rFonts w:hint="eastAsia" w:ascii="宋体" w:hAnsi="宋体" w:eastAsia="宋体"/>
          <w:color w:val="auto"/>
          <w:sz w:val="24"/>
          <w:szCs w:val="24"/>
          <w:highlight w:val="none"/>
        </w:rPr>
      </w:pPr>
    </w:p>
    <w:p w14:paraId="2DEFEE8A">
      <w:pPr>
        <w:spacing w:line="440" w:lineRule="exact"/>
        <w:ind w:firstLine="4800" w:firstLineChars="2000"/>
        <w:rPr>
          <w:rFonts w:hint="eastAsia" w:ascii="宋体" w:hAnsi="宋体" w:eastAsia="宋体"/>
          <w:color w:val="auto"/>
          <w:sz w:val="24"/>
          <w:szCs w:val="24"/>
          <w:highlight w:val="none"/>
        </w:rPr>
      </w:pPr>
    </w:p>
    <w:p w14:paraId="2CF6B7D4">
      <w:pPr>
        <w:spacing w:line="440" w:lineRule="exact"/>
        <w:ind w:firstLine="4800" w:firstLineChars="2000"/>
        <w:rPr>
          <w:rFonts w:hint="eastAsia" w:ascii="宋体" w:hAnsi="宋体" w:eastAsia="宋体"/>
          <w:color w:val="auto"/>
          <w:sz w:val="24"/>
          <w:szCs w:val="24"/>
          <w:highlight w:val="none"/>
        </w:rPr>
      </w:pPr>
    </w:p>
    <w:p w14:paraId="2CA5359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3396F00">
      <w:pPr>
        <w:spacing w:line="360" w:lineRule="auto"/>
        <w:ind w:firstLine="3600" w:firstLineChars="1500"/>
        <w:rPr>
          <w:rFonts w:hint="eastAsia" w:ascii="宋体" w:hAnsi="宋体" w:eastAsia="宋体"/>
          <w:color w:val="auto"/>
          <w:sz w:val="24"/>
          <w:highlight w:val="none"/>
        </w:rPr>
      </w:pPr>
    </w:p>
    <w:p w14:paraId="7A2EB8AD">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04E3476">
      <w:pPr>
        <w:rPr>
          <w:rFonts w:hint="eastAsia" w:hAnsi="宋体" w:cs="宋体"/>
          <w:color w:val="auto"/>
          <w:sz w:val="28"/>
          <w:szCs w:val="28"/>
          <w:highlight w:val="none"/>
          <w:lang w:val="en-US" w:eastAsia="zh-CN"/>
        </w:rPr>
      </w:pPr>
    </w:p>
    <w:p w14:paraId="70656D10">
      <w:pPr>
        <w:rPr>
          <w:rFonts w:hint="eastAsia" w:hAnsi="宋体" w:cs="宋体"/>
          <w:color w:val="auto"/>
          <w:sz w:val="28"/>
          <w:szCs w:val="28"/>
          <w:highlight w:val="none"/>
          <w:lang w:val="en-US" w:eastAsia="zh-CN"/>
        </w:rPr>
      </w:pPr>
    </w:p>
    <w:p w14:paraId="52F5E113">
      <w:pPr>
        <w:rPr>
          <w:rFonts w:hint="eastAsia" w:hAnsi="宋体" w:cs="宋体"/>
          <w:color w:val="auto"/>
          <w:sz w:val="28"/>
          <w:szCs w:val="28"/>
          <w:highlight w:val="none"/>
          <w:lang w:val="en-US" w:eastAsia="zh-CN"/>
        </w:rPr>
      </w:pPr>
    </w:p>
    <w:p w14:paraId="740E8CA0">
      <w:pPr>
        <w:rPr>
          <w:rFonts w:hint="eastAsia" w:hAnsi="宋体" w:cs="宋体"/>
          <w:color w:val="auto"/>
          <w:sz w:val="28"/>
          <w:szCs w:val="28"/>
          <w:highlight w:val="none"/>
          <w:lang w:val="en-US" w:eastAsia="zh-CN"/>
        </w:rPr>
      </w:pPr>
    </w:p>
    <w:p w14:paraId="55E312A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6AEA3AEF">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bookmarkEnd w:id="111"/>
    <w:p w14:paraId="03B7DC02">
      <w:pPr>
        <w:spacing w:line="360" w:lineRule="auto"/>
        <w:ind w:firstLine="210" w:firstLineChars="100"/>
        <w:rPr>
          <w:rFonts w:ascii="宋体" w:hAnsi="宋体"/>
          <w:color w:val="auto"/>
          <w:szCs w:val="21"/>
          <w:highlight w:val="none"/>
        </w:rPr>
      </w:pPr>
      <w:bookmarkStart w:id="112" w:name="_Toc54941345"/>
      <w:bookmarkStart w:id="113" w:name="_Toc476584436"/>
      <w:bookmarkStart w:id="114" w:name="_Toc15038"/>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8"/>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165055B8">
      <w:pPr>
        <w:spacing w:line="360" w:lineRule="auto"/>
        <w:ind w:firstLine="3561" w:firstLineChars="1696"/>
        <w:rPr>
          <w:rFonts w:ascii="宋体" w:hAnsi="宋体"/>
          <w:color w:val="auto"/>
          <w:szCs w:val="21"/>
          <w:highlight w:val="none"/>
        </w:rPr>
      </w:pPr>
    </w:p>
    <w:p w14:paraId="3D63DB9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DD325FF">
      <w:pPr>
        <w:spacing w:line="360" w:lineRule="auto"/>
        <w:ind w:firstLine="3600" w:firstLineChars="1500"/>
        <w:rPr>
          <w:rFonts w:hint="eastAsia" w:ascii="宋体" w:hAnsi="宋体" w:eastAsia="宋体"/>
          <w:color w:val="auto"/>
          <w:sz w:val="24"/>
          <w:highlight w:val="none"/>
        </w:rPr>
      </w:pPr>
    </w:p>
    <w:p w14:paraId="2A15BA1F">
      <w:pPr>
        <w:spacing w:line="360" w:lineRule="auto"/>
        <w:ind w:firstLine="3600" w:firstLineChars="1500"/>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5F58EDD">
      <w:pPr>
        <w:pStyle w:val="4"/>
        <w:numPr>
          <w:ilvl w:val="0"/>
          <w:numId w:val="0"/>
        </w:numPr>
        <w:jc w:val="center"/>
        <w:rPr>
          <w:rFonts w:cs="宋体"/>
          <w:color w:val="auto"/>
          <w:sz w:val="28"/>
          <w:szCs w:val="28"/>
          <w:highlight w:val="none"/>
        </w:rPr>
      </w:pPr>
      <w:r>
        <w:rPr>
          <w:rFonts w:hint="eastAsia" w:cs="宋体"/>
          <w:color w:val="auto"/>
          <w:sz w:val="28"/>
          <w:szCs w:val="28"/>
          <w:highlight w:val="none"/>
          <w:lang w:val="en-US" w:eastAsia="zh-CN"/>
        </w:rPr>
        <w:t>四、</w:t>
      </w:r>
      <w:r>
        <w:rPr>
          <w:rFonts w:hint="eastAsia" w:cs="宋体"/>
          <w:color w:val="auto"/>
          <w:sz w:val="28"/>
          <w:szCs w:val="28"/>
          <w:highlight w:val="none"/>
        </w:rPr>
        <w:t>最后报价表</w:t>
      </w:r>
      <w:bookmarkEnd w:id="112"/>
    </w:p>
    <w:p w14:paraId="2886A71F">
      <w:pPr>
        <w:pStyle w:val="6"/>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1"/>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5"/>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2105" w:type="dxa"/>
            <w:vMerge w:val="restart"/>
            <w:vAlign w:val="center"/>
          </w:tcPr>
          <w:p w14:paraId="44BF7754">
            <w:pPr>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一包半年期保险</w:t>
            </w:r>
          </w:p>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2105"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821"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1"/>
        <w:rPr>
          <w:rFonts w:hint="eastAsia" w:cs="宋体"/>
          <w:b/>
          <w:bCs/>
          <w:color w:val="auto"/>
          <w:sz w:val="28"/>
          <w:szCs w:val="28"/>
          <w:highlight w:val="none"/>
          <w:lang w:eastAsia="zh-CN"/>
        </w:rPr>
      </w:pPr>
    </w:p>
    <w:p w14:paraId="23B86D71">
      <w:pPr>
        <w:pStyle w:val="81"/>
        <w:rPr>
          <w:rFonts w:hint="eastAsia" w:cs="宋体"/>
          <w:b/>
          <w:bCs/>
          <w:color w:val="auto"/>
          <w:sz w:val="28"/>
          <w:szCs w:val="28"/>
          <w:highlight w:val="none"/>
          <w:lang w:eastAsia="zh-CN"/>
        </w:rPr>
      </w:pPr>
    </w:p>
    <w:p w14:paraId="015913F7">
      <w:pPr>
        <w:pStyle w:val="81"/>
        <w:rPr>
          <w:rFonts w:hint="eastAsia" w:cs="宋体"/>
          <w:b/>
          <w:bCs/>
          <w:color w:val="auto"/>
          <w:sz w:val="28"/>
          <w:szCs w:val="28"/>
          <w:highlight w:val="none"/>
          <w:lang w:eastAsia="zh-CN"/>
        </w:rPr>
      </w:pPr>
    </w:p>
    <w:p w14:paraId="0DEADE17">
      <w:pPr>
        <w:pStyle w:val="81"/>
        <w:rPr>
          <w:rFonts w:hint="eastAsia" w:cs="宋体"/>
          <w:b/>
          <w:bCs/>
          <w:color w:val="auto"/>
          <w:sz w:val="28"/>
          <w:szCs w:val="28"/>
          <w:highlight w:val="none"/>
          <w:lang w:eastAsia="zh-CN"/>
        </w:rPr>
      </w:pPr>
    </w:p>
    <w:p w14:paraId="2793BC88">
      <w:pPr>
        <w:snapToGrid w:val="0"/>
        <w:spacing w:line="360" w:lineRule="auto"/>
        <w:jc w:val="left"/>
        <w:rPr>
          <w:rFonts w:hint="eastAsia" w:ascii="宋体" w:hAnsi="宋体" w:eastAsia="宋体"/>
          <w:b/>
          <w:color w:val="auto"/>
          <w:sz w:val="24"/>
          <w:szCs w:val="28"/>
          <w:highlight w:val="none"/>
        </w:rPr>
      </w:pPr>
    </w:p>
    <w:p w14:paraId="48C95589">
      <w:pPr>
        <w:snapToGrid w:val="0"/>
        <w:spacing w:line="360" w:lineRule="auto"/>
        <w:jc w:val="left"/>
        <w:rPr>
          <w:rFonts w:hint="eastAsia" w:ascii="宋体" w:hAnsi="宋体" w:eastAsia="宋体"/>
          <w:b/>
          <w:color w:val="auto"/>
          <w:sz w:val="24"/>
          <w:szCs w:val="28"/>
          <w:highlight w:val="none"/>
        </w:rPr>
      </w:pPr>
    </w:p>
    <w:p w14:paraId="6BF29F0E">
      <w:pPr>
        <w:snapToGrid w:val="0"/>
        <w:spacing w:line="360" w:lineRule="auto"/>
        <w:jc w:val="left"/>
        <w:rPr>
          <w:rFonts w:hint="eastAsia" w:ascii="宋体" w:hAnsi="宋体" w:eastAsia="宋体"/>
          <w:b/>
          <w:color w:val="auto"/>
          <w:sz w:val="24"/>
          <w:szCs w:val="28"/>
          <w:highlight w:val="none"/>
        </w:rPr>
      </w:pPr>
    </w:p>
    <w:p w14:paraId="48AFBC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5A41D3B">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525269B8">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1"/>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5"/>
        <w:gridCol w:w="6716"/>
      </w:tblGrid>
      <w:tr w14:paraId="63A59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2105" w:type="dxa"/>
            <w:vMerge w:val="restart"/>
            <w:vAlign w:val="center"/>
          </w:tcPr>
          <w:p w14:paraId="60322434">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二包一年期保险</w:t>
            </w:r>
            <w:r>
              <w:rPr>
                <w:rFonts w:hint="eastAsia" w:hAnsi="宋体"/>
                <w:color w:val="auto"/>
                <w:sz w:val="24"/>
                <w:highlight w:val="none"/>
              </w:rPr>
              <w:t>最后报价</w:t>
            </w:r>
          </w:p>
        </w:tc>
        <w:tc>
          <w:tcPr>
            <w:tcW w:w="6716" w:type="dxa"/>
            <w:vAlign w:val="center"/>
          </w:tcPr>
          <w:p w14:paraId="17EC2D52">
            <w:pPr>
              <w:wordWrap w:val="0"/>
              <w:spacing w:line="400" w:lineRule="exact"/>
              <w:rPr>
                <w:rFonts w:hint="eastAsia" w:hAnsi="宋体"/>
                <w:color w:val="auto"/>
                <w:sz w:val="24"/>
                <w:highlight w:val="none"/>
              </w:rPr>
            </w:pPr>
          </w:p>
          <w:p w14:paraId="19BCB5CF">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C44F345">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2B714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2105" w:type="dxa"/>
            <w:vMerge w:val="continue"/>
            <w:vAlign w:val="center"/>
          </w:tcPr>
          <w:p w14:paraId="0EB53E8B">
            <w:pPr>
              <w:spacing w:line="400" w:lineRule="exact"/>
              <w:jc w:val="center"/>
              <w:rPr>
                <w:color w:val="auto"/>
                <w:sz w:val="24"/>
                <w:highlight w:val="none"/>
              </w:rPr>
            </w:pPr>
          </w:p>
        </w:tc>
        <w:tc>
          <w:tcPr>
            <w:tcW w:w="6716" w:type="dxa"/>
            <w:vAlign w:val="center"/>
          </w:tcPr>
          <w:p w14:paraId="0A459275">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7DBF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821" w:type="dxa"/>
            <w:gridSpan w:val="2"/>
            <w:vAlign w:val="center"/>
          </w:tcPr>
          <w:p w14:paraId="34C73099">
            <w:pPr>
              <w:spacing w:line="400" w:lineRule="exact"/>
              <w:rPr>
                <w:rFonts w:hAnsi="宋体"/>
                <w:color w:val="auto"/>
                <w:sz w:val="24"/>
                <w:highlight w:val="none"/>
              </w:rPr>
            </w:pPr>
            <w:r>
              <w:rPr>
                <w:rFonts w:hint="eastAsia" w:hAnsi="宋体"/>
                <w:color w:val="auto"/>
                <w:sz w:val="24"/>
                <w:highlight w:val="none"/>
              </w:rPr>
              <w:t>备注：</w:t>
            </w:r>
          </w:p>
          <w:p w14:paraId="01DAD96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420AA07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4451022B">
      <w:pPr>
        <w:spacing w:line="360" w:lineRule="auto"/>
        <w:rPr>
          <w:rFonts w:ascii="宋体"/>
          <w:b/>
          <w:color w:val="auto"/>
          <w:sz w:val="24"/>
          <w:highlight w:val="none"/>
        </w:rPr>
      </w:pPr>
    </w:p>
    <w:p w14:paraId="342C9198">
      <w:pPr>
        <w:spacing w:line="360" w:lineRule="auto"/>
        <w:ind w:firstLine="3465" w:firstLineChars="1650"/>
        <w:rPr>
          <w:rFonts w:ascii="宋体"/>
          <w:color w:val="auto"/>
          <w:szCs w:val="21"/>
          <w:highlight w:val="none"/>
        </w:rPr>
      </w:pPr>
    </w:p>
    <w:p w14:paraId="2BB0D074">
      <w:pPr>
        <w:pStyle w:val="4"/>
        <w:rPr>
          <w:rFonts w:ascii="宋体"/>
          <w:color w:val="auto"/>
          <w:szCs w:val="21"/>
          <w:highlight w:val="none"/>
        </w:rPr>
      </w:pPr>
    </w:p>
    <w:p w14:paraId="378AEE5B">
      <w:pPr>
        <w:rPr>
          <w:rFonts w:ascii="宋体"/>
          <w:color w:val="auto"/>
          <w:szCs w:val="21"/>
          <w:highlight w:val="none"/>
        </w:rPr>
      </w:pPr>
    </w:p>
    <w:p w14:paraId="25069E53">
      <w:pPr>
        <w:pStyle w:val="4"/>
        <w:rPr>
          <w:color w:val="auto"/>
          <w:highlight w:val="none"/>
        </w:rPr>
      </w:pPr>
    </w:p>
    <w:p w14:paraId="2224EE57">
      <w:pPr>
        <w:pStyle w:val="4"/>
        <w:rPr>
          <w:rFonts w:ascii="宋体"/>
          <w:color w:val="auto"/>
          <w:szCs w:val="21"/>
          <w:highlight w:val="none"/>
        </w:rPr>
      </w:pPr>
    </w:p>
    <w:p w14:paraId="11A28478">
      <w:pPr>
        <w:rPr>
          <w:color w:val="auto"/>
          <w:highlight w:val="none"/>
        </w:rPr>
      </w:pPr>
    </w:p>
    <w:p w14:paraId="4092969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110D7D2">
      <w:pPr>
        <w:spacing w:line="360" w:lineRule="auto"/>
        <w:ind w:firstLine="3600" w:firstLineChars="1500"/>
        <w:rPr>
          <w:rFonts w:hint="eastAsia" w:ascii="宋体" w:hAnsi="宋体" w:eastAsia="宋体"/>
          <w:color w:val="auto"/>
          <w:sz w:val="24"/>
          <w:highlight w:val="none"/>
        </w:rPr>
      </w:pPr>
    </w:p>
    <w:p w14:paraId="070AFC1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53E2D04">
      <w:pPr>
        <w:pStyle w:val="81"/>
        <w:rPr>
          <w:rFonts w:hint="eastAsia" w:cs="宋体"/>
          <w:b/>
          <w:bCs/>
          <w:color w:val="auto"/>
          <w:sz w:val="28"/>
          <w:szCs w:val="28"/>
          <w:highlight w:val="none"/>
          <w:lang w:eastAsia="zh-CN"/>
        </w:rPr>
      </w:pPr>
    </w:p>
    <w:p w14:paraId="01FB12D7">
      <w:pPr>
        <w:pStyle w:val="3"/>
        <w:jc w:val="both"/>
        <w:rPr>
          <w:rFonts w:hint="eastAsia"/>
          <w:lang w:eastAsia="zh-CN"/>
        </w:rPr>
      </w:pPr>
    </w:p>
    <w:p w14:paraId="6F747F75">
      <w:pPr>
        <w:rPr>
          <w:rFonts w:hint="eastAsia"/>
          <w:lang w:eastAsia="zh-CN"/>
        </w:rPr>
      </w:pPr>
    </w:p>
    <w:p w14:paraId="4C99F4A4">
      <w:pPr>
        <w:rPr>
          <w:rFonts w:hint="eastAsia"/>
          <w:lang w:eastAsia="zh-CN"/>
        </w:rPr>
      </w:pPr>
    </w:p>
    <w:p w14:paraId="133052FB">
      <w:pPr>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B1E71AD">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2C2B48BA">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C7EC85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8573"/>
      <w:bookmarkStart w:id="124" w:name="_Toc32741"/>
      <w:bookmarkStart w:id="125" w:name="_Toc2700"/>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CFFA2695"/>
    <w:multiLevelType w:val="singleLevel"/>
    <w:tmpl w:val="CFFA2695"/>
    <w:lvl w:ilvl="0" w:tentative="0">
      <w:start w:val="1"/>
      <w:numFmt w:val="decimal"/>
      <w:suff w:val="nothing"/>
      <w:lvlText w:val="%1、"/>
      <w:lvlJc w:val="left"/>
    </w:lvl>
  </w:abstractNum>
  <w:abstractNum w:abstractNumId="3">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5">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5615A5"/>
    <w:rsid w:val="019127B6"/>
    <w:rsid w:val="023F42AD"/>
    <w:rsid w:val="02621563"/>
    <w:rsid w:val="02843BB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1C091C"/>
    <w:rsid w:val="17586E1A"/>
    <w:rsid w:val="177605B7"/>
    <w:rsid w:val="17D91376"/>
    <w:rsid w:val="180B783B"/>
    <w:rsid w:val="181F6915"/>
    <w:rsid w:val="1858180A"/>
    <w:rsid w:val="18D838A6"/>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0E0C61"/>
    <w:rsid w:val="533B1B4E"/>
    <w:rsid w:val="53560736"/>
    <w:rsid w:val="536E08E0"/>
    <w:rsid w:val="53A611ED"/>
    <w:rsid w:val="53D77AC9"/>
    <w:rsid w:val="54295E4B"/>
    <w:rsid w:val="542A026B"/>
    <w:rsid w:val="55452810"/>
    <w:rsid w:val="555358E8"/>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BAB292F"/>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47</Pages>
  <Words>892</Words>
  <Characters>935</Characters>
  <Lines>195</Lines>
  <Paragraphs>55</Paragraphs>
  <TotalTime>8</TotalTime>
  <ScaleCrop>false</ScaleCrop>
  <LinksUpToDate>false</LinksUpToDate>
  <CharactersWithSpaces>1025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2025-05-27T02:15:40Z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AF2EC998A2FD4F13B5C3B23370995057_13</vt:lpwstr>
  </property>
  <property fmtid="{D5CDD505-2E9C-101B-9397-08002B2CF9AE}" pid="4" name="KSOTemplateDocerSaveRecord">
    <vt:lpwstr>eyJoZGlkIjoiODVhNDljOTA3NGJiZTQwZDk2ZGY5NGRmMTgwNWM3NTQiLCJ1c2VySWQiOiIzMDI1ODcyMjYifQ==</vt:lpwstr>
  </property>
</Properties>
</file>